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422E5" w14:textId="77777777" w:rsidR="00007383" w:rsidRDefault="00007383">
      <w:pPr>
        <w:jc w:val="center"/>
      </w:pPr>
    </w:p>
    <w:p w14:paraId="615B4FAE" w14:textId="77777777" w:rsidR="00007383" w:rsidRDefault="00007383">
      <w:pPr>
        <w:jc w:val="center"/>
      </w:pPr>
    </w:p>
    <w:p w14:paraId="070CB1A9" w14:textId="77777777" w:rsidR="00007383" w:rsidRDefault="00D37F24">
      <w:pPr>
        <w:jc w:val="center"/>
      </w:pPr>
      <w:r>
        <w:rPr>
          <w:b/>
        </w:rPr>
        <w:t>INTEGRATING GREEN INFRASTRUCTURE INTO INFORMAL SETTLEMENTS: LESSONS FROM KADUNA’S UNGUWA AREAS</w:t>
      </w:r>
    </w:p>
    <w:p w14:paraId="0D086602" w14:textId="77777777" w:rsidR="00007383" w:rsidRDefault="00007383">
      <w:pPr>
        <w:jc w:val="center"/>
      </w:pPr>
    </w:p>
    <w:p w14:paraId="163E0464" w14:textId="77777777" w:rsidR="00007383" w:rsidRDefault="00D37F24">
      <w:pPr>
        <w:jc w:val="center"/>
      </w:pPr>
      <w:r>
        <w:t>Enoch Ibrahim*</w:t>
      </w:r>
    </w:p>
    <w:p w14:paraId="643B2381" w14:textId="77777777" w:rsidR="00007383" w:rsidRDefault="00D37F24">
      <w:pPr>
        <w:jc w:val="center"/>
      </w:pPr>
      <w:r>
        <w:t>Department of Urban and Regional Planning, Federal Polytechnic Ukana, Nigeria</w:t>
      </w:r>
    </w:p>
    <w:p w14:paraId="4BCDE806" w14:textId="77777777" w:rsidR="00007383" w:rsidRDefault="00D37F24">
      <w:pPr>
        <w:jc w:val="center"/>
      </w:pPr>
      <w:r>
        <w:t>enoch.ibrahim@fedpolyukana.edu.ng</w:t>
      </w:r>
    </w:p>
    <w:p w14:paraId="354B180E" w14:textId="77777777" w:rsidR="00007383" w:rsidRDefault="00007383">
      <w:pPr>
        <w:jc w:val="center"/>
      </w:pPr>
    </w:p>
    <w:p w14:paraId="1CE69DD1" w14:textId="77777777" w:rsidR="00007383" w:rsidRDefault="00D37F24">
      <w:pPr>
        <w:jc w:val="center"/>
      </w:pPr>
      <w:r>
        <w:t>Iberedem E. Uko, PhD</w:t>
      </w:r>
    </w:p>
    <w:p w14:paraId="56410E67" w14:textId="77777777" w:rsidR="00007383" w:rsidRDefault="00D37F24">
      <w:pPr>
        <w:jc w:val="center"/>
      </w:pPr>
      <w:r>
        <w:t>Department of Urban and Regional Planning, Federal Polytechnic Ukana, Nigeria</w:t>
      </w:r>
    </w:p>
    <w:p w14:paraId="18D25718" w14:textId="77777777" w:rsidR="00007383" w:rsidRDefault="00D37F24">
      <w:pPr>
        <w:jc w:val="center"/>
      </w:pPr>
      <w:r>
        <w:t>iberedem.uko@fedpolyukana.edu.ng</w:t>
      </w:r>
    </w:p>
    <w:p w14:paraId="5863E6BE" w14:textId="77777777" w:rsidR="00007383" w:rsidRDefault="00007383">
      <w:pPr>
        <w:jc w:val="center"/>
      </w:pPr>
    </w:p>
    <w:p w14:paraId="0B97FB9E" w14:textId="77777777" w:rsidR="00007383" w:rsidRDefault="00D37F24">
      <w:pPr>
        <w:jc w:val="center"/>
      </w:pPr>
      <w:r>
        <w:t>Umar Abdulazeez Saidu</w:t>
      </w:r>
    </w:p>
    <w:p w14:paraId="609C81C9" w14:textId="77777777" w:rsidR="00007383" w:rsidRDefault="00D37F24">
      <w:pPr>
        <w:jc w:val="center"/>
      </w:pPr>
      <w:r>
        <w:t>Department of Architectural Technology, Federal Polytechnic Ukana, Nigeria</w:t>
      </w:r>
    </w:p>
    <w:p w14:paraId="6F2BEE5C" w14:textId="77777777" w:rsidR="00007383" w:rsidRDefault="00D37F24">
      <w:pPr>
        <w:jc w:val="center"/>
      </w:pPr>
      <w:r>
        <w:t>saidu.umar@fedpolyukana.edu.ng</w:t>
      </w:r>
    </w:p>
    <w:p w14:paraId="0364204F" w14:textId="77777777" w:rsidR="00007383" w:rsidRDefault="00007383">
      <w:pPr>
        <w:jc w:val="center"/>
      </w:pPr>
    </w:p>
    <w:p w14:paraId="6DC8F71E" w14:textId="756811B2" w:rsidR="00E075F3" w:rsidRDefault="00D37F24" w:rsidP="00EC1E5D">
      <w:pPr>
        <w:jc w:val="center"/>
        <w:rPr>
          <w:lang/>
        </w:rPr>
      </w:pPr>
      <w:r>
        <w:t xml:space="preserve">*Corresponding author: </w:t>
      </w:r>
      <w:hyperlink r:id="rId8" w:history="1">
        <w:r w:rsidR="00E075F3" w:rsidRPr="000D0FB6">
          <w:rPr>
            <w:rStyle w:val="Hyperlink"/>
          </w:rPr>
          <w:t>enoch.ibrahim@fedpolyukana.edu.ng</w:t>
        </w:r>
      </w:hyperlink>
    </w:p>
    <w:p w14:paraId="0B8AAC31" w14:textId="77777777" w:rsidR="00EC1E5D" w:rsidRDefault="00EC1E5D" w:rsidP="00EC1E5D">
      <w:pPr>
        <w:jc w:val="center"/>
        <w:rPr>
          <w:lang/>
        </w:rPr>
      </w:pPr>
    </w:p>
    <w:p w14:paraId="32E97D6B" w14:textId="77777777" w:rsidR="00EC1E5D" w:rsidRDefault="00EC1E5D" w:rsidP="00EC1E5D">
      <w:pPr>
        <w:jc w:val="center"/>
        <w:rPr>
          <w:lang/>
        </w:rPr>
      </w:pPr>
    </w:p>
    <w:p w14:paraId="5B193EEF" w14:textId="77777777" w:rsidR="00EC1E5D" w:rsidRDefault="00EC1E5D" w:rsidP="00EC1E5D">
      <w:pPr>
        <w:jc w:val="center"/>
        <w:rPr>
          <w:lang/>
        </w:rPr>
      </w:pPr>
    </w:p>
    <w:p w14:paraId="25002962" w14:textId="77777777" w:rsidR="00EC1E5D" w:rsidRDefault="00EC1E5D" w:rsidP="00EC1E5D">
      <w:pPr>
        <w:jc w:val="center"/>
        <w:rPr>
          <w:lang/>
        </w:rPr>
      </w:pPr>
    </w:p>
    <w:p w14:paraId="49811D43" w14:textId="77777777" w:rsidR="00EC1E5D" w:rsidRDefault="00EC1E5D" w:rsidP="00EC1E5D">
      <w:pPr>
        <w:jc w:val="center"/>
        <w:rPr>
          <w:lang/>
        </w:rPr>
      </w:pPr>
    </w:p>
    <w:p w14:paraId="04054F63" w14:textId="77777777" w:rsidR="00EC1E5D" w:rsidRDefault="00EC1E5D" w:rsidP="00EC1E5D">
      <w:pPr>
        <w:jc w:val="center"/>
        <w:rPr>
          <w:lang/>
        </w:rPr>
      </w:pPr>
    </w:p>
    <w:p w14:paraId="0EE70D3E" w14:textId="77777777" w:rsidR="00EC1E5D" w:rsidRDefault="00EC1E5D" w:rsidP="00EC1E5D">
      <w:pPr>
        <w:jc w:val="center"/>
        <w:rPr>
          <w:lang/>
        </w:rPr>
      </w:pPr>
    </w:p>
    <w:p w14:paraId="332770FF" w14:textId="77777777" w:rsidR="00EC1E5D" w:rsidRDefault="00EC1E5D" w:rsidP="00EC1E5D">
      <w:pPr>
        <w:jc w:val="center"/>
        <w:rPr>
          <w:lang/>
        </w:rPr>
      </w:pPr>
    </w:p>
    <w:p w14:paraId="68B2D9FD" w14:textId="77777777" w:rsidR="00EC1E5D" w:rsidRDefault="00EC1E5D" w:rsidP="00EC1E5D">
      <w:pPr>
        <w:jc w:val="center"/>
        <w:rPr>
          <w:lang/>
        </w:rPr>
      </w:pPr>
    </w:p>
    <w:p w14:paraId="30DC4DFC" w14:textId="77777777" w:rsidR="00EC1E5D" w:rsidRDefault="00EC1E5D" w:rsidP="00EC1E5D">
      <w:pPr>
        <w:jc w:val="center"/>
        <w:rPr>
          <w:lang/>
        </w:rPr>
      </w:pPr>
    </w:p>
    <w:p w14:paraId="7281BDF2" w14:textId="77777777" w:rsidR="00EC1E5D" w:rsidRDefault="00EC1E5D" w:rsidP="00EC1E5D">
      <w:pPr>
        <w:jc w:val="center"/>
        <w:rPr>
          <w:lang/>
        </w:rPr>
      </w:pPr>
    </w:p>
    <w:p w14:paraId="00839D7E" w14:textId="77777777" w:rsidR="00EC1E5D" w:rsidRDefault="00EC1E5D" w:rsidP="00EC1E5D">
      <w:pPr>
        <w:jc w:val="center"/>
        <w:rPr>
          <w:lang/>
        </w:rPr>
      </w:pPr>
    </w:p>
    <w:p w14:paraId="5B5A0A02" w14:textId="77777777" w:rsidR="00EC1E5D" w:rsidRDefault="00EC1E5D" w:rsidP="00EC1E5D">
      <w:pPr>
        <w:jc w:val="center"/>
        <w:rPr>
          <w:lang/>
        </w:rPr>
      </w:pPr>
    </w:p>
    <w:p w14:paraId="0CCF06C6" w14:textId="77777777" w:rsidR="00EC1E5D" w:rsidRDefault="00EC1E5D" w:rsidP="00EC1E5D">
      <w:pPr>
        <w:jc w:val="center"/>
        <w:rPr>
          <w:lang/>
        </w:rPr>
      </w:pPr>
    </w:p>
    <w:p w14:paraId="21E853BA" w14:textId="77777777" w:rsidR="00EC1E5D" w:rsidRDefault="00EC1E5D" w:rsidP="00EC1E5D">
      <w:pPr>
        <w:jc w:val="center"/>
        <w:rPr>
          <w:lang/>
        </w:rPr>
      </w:pPr>
    </w:p>
    <w:p w14:paraId="1048704B" w14:textId="77777777" w:rsidR="00EC1E5D" w:rsidRDefault="00EC1E5D" w:rsidP="00EC1E5D">
      <w:pPr>
        <w:jc w:val="center"/>
        <w:rPr>
          <w:lang/>
        </w:rPr>
      </w:pPr>
    </w:p>
    <w:p w14:paraId="55359D6E" w14:textId="77777777" w:rsidR="00EC1E5D" w:rsidRDefault="00EC1E5D" w:rsidP="00EC1E5D">
      <w:pPr>
        <w:jc w:val="center"/>
        <w:rPr>
          <w:lang/>
        </w:rPr>
      </w:pPr>
    </w:p>
    <w:p w14:paraId="6D647C4C" w14:textId="77777777" w:rsidR="00EC1E5D" w:rsidRDefault="00EC1E5D" w:rsidP="00EC1E5D">
      <w:pPr>
        <w:jc w:val="center"/>
        <w:rPr>
          <w:b/>
          <w:lang/>
        </w:rPr>
      </w:pPr>
    </w:p>
    <w:p w14:paraId="3562EEDC" w14:textId="453DC55A" w:rsidR="00007383" w:rsidRDefault="00D37F24">
      <w:pPr>
        <w:spacing w:before="200"/>
        <w:jc w:val="left"/>
      </w:pPr>
      <w:r>
        <w:rPr>
          <w:b/>
        </w:rPr>
        <w:lastRenderedPageBreak/>
        <w:t>ABSTRACT</w:t>
      </w:r>
    </w:p>
    <w:p w14:paraId="2F724849" w14:textId="77777777" w:rsidR="00007383" w:rsidRDefault="00D37F24">
      <w:r>
        <w:t>Informal settlements in rapidly urbanizing cities of the Global South are frequently excluded from green infrastructure (GI) investments, even though they face acute climate risks. This study examines how GI can be integrated into the unguwa (informal) areas of Kaduna, Nigeria, using Rigasa, Tudun Wada, and Kakuri as case studies. A convergent mixed-methods design combined NDVI-based spatial analysis of high-resolution imagery, a survey of 450 households, 25 key informant interviews, six focus group discussions, and a review of planning and legal documents. Results show that informal settlements are not ecologically deficient: they contain embedded, multifunctional green assets, including compound trees (maintained by over 70% of households), roadside vegetation, seasonal floodplain agriculture, and communal green spaces around religious institutions. However, mean NDVI values of 0.12 (Rigasa), 0.21 (Tudun Wada), and 0.28 (Kakuri) reveal a steep intra-urban green inequality gradient, and asset functionality is undermined by institutional exclusion, high-density constraints, tenure insecurity, and residents’ fear of displacement. Respondents strongly preferred small-scale, phased, participatory interventions over conventional large-scale models. The study advances a Participatory Incremental Green Infrastructure (PIGI) model grounded in asset-based planning, tenure security, co-production, and anti-displacement safeguards. The findings demonstrate that equitable GI integration in informal settlements depends on enhancing and connecting existing green systems rather than imposing formal-area models, with implications for inclusive urban resilience policy in Nigeria and comparable contexts.</w:t>
      </w:r>
    </w:p>
    <w:p w14:paraId="5F75E4B5" w14:textId="7A015804" w:rsidR="00E075F3" w:rsidRDefault="00D37F24">
      <w:pPr>
        <w:rPr>
          <w:lang/>
        </w:rPr>
      </w:pPr>
      <w:r>
        <w:rPr>
          <w:b/>
        </w:rPr>
        <w:t xml:space="preserve">Keywords: </w:t>
      </w:r>
      <w:r>
        <w:t>green infrastructure; informal settlements; unguwa areas; participatory planning; nature-based solutions; Kaduna</w:t>
      </w:r>
      <w:r w:rsidR="00E075F3">
        <w:rPr>
          <w:lang/>
        </w:rPr>
        <w:t>,</w:t>
      </w:r>
      <w:r>
        <w:t xml:space="preserve"> Nigeria</w:t>
      </w:r>
      <w:r w:rsidR="00E075F3">
        <w:rPr>
          <w:lang/>
        </w:rPr>
        <w:t>.</w:t>
      </w:r>
    </w:p>
    <w:p w14:paraId="618B518A" w14:textId="77777777" w:rsidR="00EC1E5D" w:rsidRDefault="00EC1E5D">
      <w:pPr>
        <w:rPr>
          <w:lang/>
        </w:rPr>
      </w:pPr>
    </w:p>
    <w:p w14:paraId="53B04290" w14:textId="77777777" w:rsidR="00EC1E5D" w:rsidRDefault="00EC1E5D">
      <w:pPr>
        <w:rPr>
          <w:lang/>
        </w:rPr>
      </w:pPr>
    </w:p>
    <w:p w14:paraId="2998B43A" w14:textId="77777777" w:rsidR="00EC1E5D" w:rsidRDefault="00EC1E5D">
      <w:pPr>
        <w:rPr>
          <w:lang/>
        </w:rPr>
      </w:pPr>
    </w:p>
    <w:p w14:paraId="52C47ACB" w14:textId="77777777" w:rsidR="00EC1E5D" w:rsidRDefault="00EC1E5D">
      <w:pPr>
        <w:rPr>
          <w:lang/>
        </w:rPr>
      </w:pPr>
    </w:p>
    <w:p w14:paraId="79F2DEAF" w14:textId="77777777" w:rsidR="00EC1E5D" w:rsidRDefault="00EC1E5D">
      <w:pPr>
        <w:rPr>
          <w:lang/>
        </w:rPr>
      </w:pPr>
    </w:p>
    <w:p w14:paraId="76D07124" w14:textId="77777777" w:rsidR="00EC1E5D" w:rsidRDefault="00EC1E5D">
      <w:pPr>
        <w:rPr>
          <w:lang/>
        </w:rPr>
      </w:pPr>
    </w:p>
    <w:p w14:paraId="2960F451" w14:textId="77777777" w:rsidR="00EC1E5D" w:rsidRDefault="00EC1E5D">
      <w:pPr>
        <w:rPr>
          <w:lang/>
        </w:rPr>
      </w:pPr>
    </w:p>
    <w:p w14:paraId="4375BC79" w14:textId="77777777" w:rsidR="00EC1E5D" w:rsidRDefault="00EC1E5D">
      <w:pPr>
        <w:rPr>
          <w:lang/>
        </w:rPr>
      </w:pPr>
    </w:p>
    <w:p w14:paraId="36D4044F" w14:textId="77777777" w:rsidR="00EC1E5D" w:rsidRDefault="00EC1E5D">
      <w:pPr>
        <w:rPr>
          <w:lang/>
        </w:rPr>
      </w:pPr>
    </w:p>
    <w:p w14:paraId="288B6303" w14:textId="77777777" w:rsidR="00EC1E5D" w:rsidRDefault="00EC1E5D">
      <w:pPr>
        <w:rPr>
          <w:lang/>
        </w:rPr>
      </w:pPr>
    </w:p>
    <w:p w14:paraId="7E3A4827" w14:textId="77777777" w:rsidR="00EC1E5D" w:rsidRDefault="00EC1E5D">
      <w:pPr>
        <w:rPr>
          <w:lang/>
        </w:rPr>
      </w:pPr>
    </w:p>
    <w:p w14:paraId="181C0C31" w14:textId="77777777" w:rsidR="00EC1E5D" w:rsidRDefault="00EC1E5D">
      <w:pPr>
        <w:rPr>
          <w:lang/>
        </w:rPr>
      </w:pPr>
    </w:p>
    <w:p w14:paraId="047AE298" w14:textId="77777777" w:rsidR="00EC1E5D" w:rsidRDefault="00EC1E5D">
      <w:pPr>
        <w:rPr>
          <w:lang/>
        </w:rPr>
      </w:pPr>
    </w:p>
    <w:p w14:paraId="177C16D4" w14:textId="77777777" w:rsidR="00EC1E5D" w:rsidRDefault="00EC1E5D">
      <w:pPr>
        <w:rPr>
          <w:lang/>
        </w:rPr>
      </w:pPr>
    </w:p>
    <w:p w14:paraId="0D3AF4FF" w14:textId="77777777" w:rsidR="00EC1E5D" w:rsidRDefault="00EC1E5D">
      <w:pPr>
        <w:rPr>
          <w:lang/>
        </w:rPr>
      </w:pPr>
    </w:p>
    <w:p w14:paraId="02C4E8AC" w14:textId="77777777" w:rsidR="00EC1E5D" w:rsidRDefault="00EC1E5D">
      <w:pPr>
        <w:rPr>
          <w:lang/>
        </w:rPr>
      </w:pPr>
    </w:p>
    <w:p w14:paraId="5487AF12" w14:textId="77777777" w:rsidR="00EC1E5D" w:rsidRDefault="00EC1E5D">
      <w:pPr>
        <w:rPr>
          <w:lang/>
        </w:rPr>
      </w:pPr>
    </w:p>
    <w:p w14:paraId="5D49DB1F" w14:textId="77777777" w:rsidR="00EC1E5D" w:rsidRDefault="00EC1E5D">
      <w:pPr>
        <w:rPr>
          <w:lang/>
        </w:rPr>
      </w:pPr>
    </w:p>
    <w:p w14:paraId="6C482BD3" w14:textId="2EAEB69E" w:rsidR="00007383" w:rsidRDefault="00D37F24">
      <w:pPr>
        <w:spacing w:before="200"/>
        <w:jc w:val="left"/>
      </w:pPr>
      <w:r>
        <w:rPr>
          <w:b/>
        </w:rPr>
        <w:lastRenderedPageBreak/>
        <w:t xml:space="preserve">1. </w:t>
      </w:r>
      <w:r w:rsidR="00E075F3">
        <w:rPr>
          <w:b/>
          <w:lang/>
        </w:rPr>
        <w:tab/>
      </w:r>
      <w:r>
        <w:rPr>
          <w:b/>
        </w:rPr>
        <w:t>INTRODUCTION</w:t>
      </w:r>
    </w:p>
    <w:p w14:paraId="27C63D7B" w14:textId="77777777" w:rsidR="00007383" w:rsidRDefault="00D37F24">
      <w:r>
        <w:t>Urban green infrastructure (GI)—the interconnected network of parks, urban forests, green corridors, wetlands, community gardens, and permeable surfaces—has become a central strategy for climate adaptation, hazard mitigation, and quality-of-life improvement in cities (Tzoulas et al., 2007; Demuzere et al., 2014). These systems deliver ecosystem services including temperature regulation, stormwater management, air purification, biodiversity support, and recreation. In the Global South, where urbanization is rapid and frequently unplanned, such functions are increasingly critical: population growth routinely outpaces infrastructure provision, producing what Fay and Opal (2000) termed “urbanization without growth” and concentrating environmental risk in low-income districts (Davis, 2006; UN-Habitat, 2010).</w:t>
      </w:r>
    </w:p>
    <w:p w14:paraId="7B316CE0" w14:textId="77777777" w:rsidR="00007383" w:rsidRDefault="00D37F24">
      <w:r>
        <w:t>Yet the implementation of GI in these cities remains uneven and socially exclusionary. Investments are typically concentrated in formal, high-income, or newly developed districts, while informal settlements—home to a substantial share of the urban population—are systematically underserved (Anguelovski, Connolly, Masip, &amp; Pearsall, 2018). This pattern constitutes environmental injustice: marginalized communities experience disproportionate exposure to hazards while enjoying limited access to environmental amenities (Agyeman, Schlosberg, Craven, &amp; Matthews, 2016; Wolch, Byrne, &amp; Newell, 2014). Comparative experience demonstrates both the risk of exclusion and the possibility of inclusive greening. Deliberately planned GI in low-income districts of Medellín reduced thermal discomfort while integrating marginalized neighborhoods into the urban fabric through participatory upgrading (Brand &amp; Dávila, 2011); Bangkok’s Baan Mankong Program enabled communities to co-design upgrading that incorporated drainage, tree planting, and communal gardens (Boonyabancha, 2005); and flood-prone areas of Curitiba were converted into multifunctional parks without large-scale displacement (Girling &amp; Kellett, 2005). In Africa, community-led agriculture and riparian greening in Kibera, Nairobi, improved food security and microclimatic conditions (Mutisya &amp; Yarime, 2011), while wetlands and urban farms in Accra provide flood regulation and food-system functions despite lacking formal recognition (Mensah, 2014).</w:t>
      </w:r>
    </w:p>
    <w:p w14:paraId="322ABB5F" w14:textId="77777777" w:rsidR="00007383" w:rsidRDefault="00D37F24">
      <w:r>
        <w:t>These experiences also surface a critical tension: greening can catalyze green gentrification, in which environmental improvements raise land values and rents and displace the very residents they ostensibly benefit (Checker, 2011; Anguelovski et al., 2019). Cases ranging from the High Line in New York to upgrading in Rio de Janeiro and land-reclamation projects in Lagos illustrate how sustainability interventions can reproduce inequality when equity safeguards are absent (Anguelovski et al., 2019; Ajibade, 2017). Equity-oriented GI planning in informal settlements must therefore treat anti-displacement measures as a design requirement rather than an afterthought.</w:t>
      </w:r>
    </w:p>
    <w:p w14:paraId="2C62F7DD" w14:textId="77777777" w:rsidR="00007383" w:rsidRDefault="00D37F24">
      <w:r>
        <w:t>Kaduna, the capital of Kaduna State in northwestern Nigeria, exemplifies these dynamics. Established as a colonial administrative center and planned on a formal grid (Mabogunje, 1968), the city has been transformed by rural–urban migration and demographic growth, with its population rising from approximately 1.5 million in 2006 to over 3 million in 2022 (National Population Commission [NPC], 2022). Much of this growth has been absorbed by informal settlements locally known as unguwa areas—including Rigasa, Tudun Wada, and Kakuri—characterized by self-built high-density housing, irregular tenure, minimal infrastructure, and heightened exposure to flooding, heat, and poor sanitation (UN-Habitat, 2010; NPC, 2022). Despite housing a large share of the city’s workforce, these areas are largely excluded from formal planning processes and GI investment, including the city’s renewal programs.</w:t>
      </w:r>
    </w:p>
    <w:p w14:paraId="6BCBB6A5" w14:textId="77777777" w:rsidR="00007383" w:rsidRDefault="00D37F24">
      <w:r>
        <w:lastRenderedPageBreak/>
        <w:t>Existing scholarship on GI in Nigeria has focused predominantly on Lagos and Abuja (Ajibade, 2017; Fanan, Dlama, &amp; Oluseyi, 2011), while the integration of GI into the informal settlements of secondary Nigerian cities remains empirically thin. Three gaps motivate this study. First, the everyday green assets of informal settlements—compound trees, roadside ecosystems, floodplain farming, and sacred green spaces—are rarely inventoried or valued as infrastructure, obscuring a potential foundation for planned intervention (Cilliers, Cilliers, Lubbe, &amp; Siebert, 2013). Second, the institutional, technical, and socio-economic barriers specific to Nigerian unguwa contexts are poorly documented. Third, participatory upgrading models developed in Asia and Latin America have seldom been adapted to Nigeria’s governance realities, in which mandates are fragmented among state planning agencies, local governments, and traditional authorities (Watson, 2014). Addressing these gaps, this study asks: (1) What green infrastructure assets and needs exist in Kaduna’s informal settlements? (2) What institutional, technical, and socio-economic barriers hinder GI integration in unguwa areas? (3) How can planners design participatory GI models that avoid displacement and maximize co-benefits?</w:t>
      </w:r>
    </w:p>
    <w:p w14:paraId="012ABE39" w14:textId="7A8DD845" w:rsidR="00007383" w:rsidRDefault="00D37F24">
      <w:pPr>
        <w:spacing w:before="200"/>
        <w:jc w:val="left"/>
      </w:pPr>
      <w:r>
        <w:rPr>
          <w:b/>
        </w:rPr>
        <w:t xml:space="preserve">2. </w:t>
      </w:r>
      <w:r w:rsidR="00E075F3">
        <w:rPr>
          <w:b/>
          <w:lang/>
        </w:rPr>
        <w:tab/>
      </w:r>
      <w:r>
        <w:rPr>
          <w:b/>
        </w:rPr>
        <w:t>LITERATURE REVIEW</w:t>
      </w:r>
    </w:p>
    <w:p w14:paraId="5FD041EF" w14:textId="269D45DC" w:rsidR="00007383" w:rsidRDefault="00D37F24">
      <w:pPr>
        <w:spacing w:before="200"/>
        <w:jc w:val="left"/>
      </w:pPr>
      <w:r>
        <w:rPr>
          <w:b/>
        </w:rPr>
        <w:t xml:space="preserve">2.1 </w:t>
      </w:r>
      <w:r w:rsidR="00E075F3">
        <w:rPr>
          <w:b/>
          <w:lang/>
        </w:rPr>
        <w:tab/>
      </w:r>
      <w:r>
        <w:rPr>
          <w:b/>
        </w:rPr>
        <w:t>Green Infrastructure in the Global South</w:t>
      </w:r>
    </w:p>
    <w:p w14:paraId="537E54A0" w14:textId="77777777" w:rsidR="00007383" w:rsidRDefault="00D37F24">
      <w:r>
        <w:t>GI has evolved from a landscape-architecture concept into a planning framework recognizing natural and semi-natural systems as urban infrastructure (Tzoulas et al., 2007; Demuzere et al., 2014). In the Global North, GI planning is institutionalized through policies emphasizing ecological connectivity and climate adaptation, supported by strong governance and finance. Scholars caution against transferring these models to Southern cities, where rapid unplanned urbanization, weak institutional capacity, and deep inequality render conventional approaches inadequate (Anguelovski et al., 2018; Watson, 2014). In African cities, green space frequently emerges in fragmented, informal forms—vacant plots, roadside verges, wetlands, and floodplains that simultaneously serve agriculture, waste disposal, water retention, and social interaction (Cilliers et al., 2013). Rather than treating these as planning failures, recent work urges planners to recognize their socio-ecological value and build on them (Mensah, 2014; Roberts et al., 2012). In Dar es Salaam, informal green spaces along river corridors mitigate flood risk without formal recognition (Sakijege, Lupala, &amp; Sheuya, 2012); in Accra, wetland agriculture supports food security and cooling (Mensah, 2014). Frantzeskaki (2019) accordingly argues that nature-based solutions in the South must be context-sensitive, co-produced with communities, and compatible with local livelihoods—treating GI as a dynamic socio-ecological system rather than a fixed engineering product.</w:t>
      </w:r>
    </w:p>
    <w:p w14:paraId="30816B86" w14:textId="0BC884DA" w:rsidR="00007383" w:rsidRDefault="00D37F24">
      <w:pPr>
        <w:spacing w:before="200"/>
        <w:jc w:val="left"/>
      </w:pPr>
      <w:r>
        <w:rPr>
          <w:b/>
        </w:rPr>
        <w:t xml:space="preserve">2.2 </w:t>
      </w:r>
      <w:r w:rsidR="00E075F3">
        <w:rPr>
          <w:b/>
          <w:lang/>
        </w:rPr>
        <w:tab/>
      </w:r>
      <w:r>
        <w:rPr>
          <w:b/>
        </w:rPr>
        <w:t>Barriers to Green Infrastructure Integration</w:t>
      </w:r>
    </w:p>
    <w:p w14:paraId="7006AEA5" w14:textId="77777777" w:rsidR="00007383" w:rsidRDefault="00D37F24">
      <w:r>
        <w:t xml:space="preserve">Three families of barriers recur across the literature. Institutional barriers include fragmented governance, weak enforcement, poor inter-agency coordination, and inadequate funding (Watson, 2014; UN-Habitat, 2010); in Nigeria, weak development control has allowed encroachment on green and conservation land in Abuja and Lagos (Fanan et al., 2011; Ajibade, 2017). Technical barriers include inadequate expertise, insufficient hydrological and environmental data, poor maintenance culture, and institutional preference for grey infrastructure (Prescott, Dobbie, &amp; Ramirez-Lovering, 2021; Frantzeskaki, 2019). Socio-economic barriers include poverty, competing survival priorities, low awareness, and uneven access: poorer communities are the most exposed to heat and flooding yet have the least functional green space (Agyeman et al., 2016; Wolch et al., 2014; Prescott et al., 2021). Overcoming these barriers </w:t>
      </w:r>
      <w:r>
        <w:lastRenderedPageBreak/>
        <w:t>requires coordinated governance, technical capacity, sustained finance, and inclusive engagement—conditions rarely met simultaneously in informal-settlement contexts.</w:t>
      </w:r>
    </w:p>
    <w:p w14:paraId="4B66EE45" w14:textId="54D50909" w:rsidR="00007383" w:rsidRDefault="00D37F24">
      <w:pPr>
        <w:spacing w:before="200"/>
        <w:jc w:val="left"/>
      </w:pPr>
      <w:r>
        <w:rPr>
          <w:b/>
        </w:rPr>
        <w:t xml:space="preserve">2.3 </w:t>
      </w:r>
      <w:r w:rsidR="00E075F3">
        <w:rPr>
          <w:b/>
          <w:lang/>
        </w:rPr>
        <w:tab/>
      </w:r>
      <w:r>
        <w:rPr>
          <w:b/>
        </w:rPr>
        <w:t>Participatory and Incremental Upgrading</w:t>
      </w:r>
    </w:p>
    <w:p w14:paraId="46CFB059" w14:textId="77777777" w:rsidR="00007383" w:rsidRDefault="00D37F24">
      <w:r>
        <w:t>The failures of mid-twentieth-century slum clearance generated a paradigm shift toward participatory, incremental upgrading (Turner, 1976; UN-Habitat, 2015). The incremental model—championed by the Asian Coalition for Housing Rights and Shack/Slum Dwellers International—favors small-scale, community-driven interventions that can be expanded over time, as in Thailand’s Baan Mankong Program, which couples community planning with government finance (Boonyabancha, 2005). Latin American experiences show GI components successfully embedded in participatory upgrading (Girling &amp; Kellett, 2005; Brand &amp; Dávila, 2011), while African cases include community agriculture in Kibera (Mutisya &amp; Yarime, 2011) and Durban’s ecosystem-based adaptation program, in which residents restore ecosystems while improving livelihoods (Roberts et al., 2012). These approaches reflect co-production: the collaborative management of shared resources that mobilizes local knowledge and strengthens legitimacy and sustainability (Ostrom, 1996). Adapting them to Nigeria is non-trivial: governance fragmentation, political interference in land management, and variable community-organizational capacity all condition what participation can achieve (Watson, 2014).</w:t>
      </w:r>
    </w:p>
    <w:p w14:paraId="28AD13A9" w14:textId="7DD0F85D" w:rsidR="00007383" w:rsidRDefault="00D37F24">
      <w:pPr>
        <w:spacing w:before="200"/>
        <w:jc w:val="left"/>
      </w:pPr>
      <w:r>
        <w:rPr>
          <w:b/>
        </w:rPr>
        <w:t xml:space="preserve">2.4 </w:t>
      </w:r>
      <w:r w:rsidR="00E075F3">
        <w:rPr>
          <w:b/>
          <w:lang/>
        </w:rPr>
        <w:tab/>
      </w:r>
      <w:r>
        <w:rPr>
          <w:b/>
        </w:rPr>
        <w:t>Conceptual Framework</w:t>
      </w:r>
    </w:p>
    <w:p w14:paraId="12D7FF42" w14:textId="77777777" w:rsidR="00007383" w:rsidRDefault="00D37F24">
      <w:r>
        <w:t>The study adopts an asset-based, co-production framing that links the barrier literature to design principles (Figure 1). Institutional exclusion and fragmentation are countered by co-production platforms joining state agencies, local governments, and traditional institutions; technical and spatial constraints by micro-scale, distributed interventions; socio-economic constraints (poverty, tenure insecurity, displacement fear) by tenure instruments and anti-displacement safeguards. This framework structures the empirical analysis and informs the PIGI model proposed in Section 4.4.</w:t>
      </w:r>
    </w:p>
    <w:p w14:paraId="036837AF" w14:textId="0FEB599D" w:rsidR="00007383" w:rsidRDefault="00D37F24">
      <w:pPr>
        <w:spacing w:before="200"/>
        <w:jc w:val="left"/>
      </w:pPr>
      <w:r>
        <w:rPr>
          <w:b/>
        </w:rPr>
        <w:t xml:space="preserve">3. </w:t>
      </w:r>
      <w:r w:rsidR="00E075F3">
        <w:rPr>
          <w:b/>
          <w:lang/>
        </w:rPr>
        <w:tab/>
      </w:r>
      <w:r>
        <w:rPr>
          <w:b/>
        </w:rPr>
        <w:t>MATERIALS AND METHODS</w:t>
      </w:r>
    </w:p>
    <w:p w14:paraId="502CEA99" w14:textId="52D98505" w:rsidR="00007383" w:rsidRDefault="00D37F24">
      <w:pPr>
        <w:spacing w:before="200"/>
        <w:jc w:val="left"/>
      </w:pPr>
      <w:r>
        <w:rPr>
          <w:b/>
        </w:rPr>
        <w:t xml:space="preserve">3.1 </w:t>
      </w:r>
      <w:r w:rsidR="00E075F3">
        <w:rPr>
          <w:b/>
          <w:lang/>
        </w:rPr>
        <w:tab/>
      </w:r>
      <w:r>
        <w:rPr>
          <w:b/>
        </w:rPr>
        <w:t>Study Area</w:t>
      </w:r>
    </w:p>
    <w:p w14:paraId="6630C7FF" w14:textId="77777777" w:rsidR="00007383" w:rsidRDefault="00D37F24">
      <w:r>
        <w:t>Kaduna lies in the Guinea Savanna zone of northern Nigeria, with a wet season (May–October) and dry season (November–April). Three informal settlements were selected for contrast. Rigasa (Igabi LGA) is a peripheral settlement of over 500,000 inhabitants, originating as a Hausa-Fulani farming community and now highly dense and flood-prone. Tudun Wada (Kaduna South LGA) is ethnically mixed (Hausa, Igbo, Yoruba) with semi-formal pockets and major roads and drainage channels that pose both hazards and greening opportunities. Kakuri (Kaduna South LGA) is an older post-industrial settlement with strong community networks and residual industrial land offering repurposing potential.</w:t>
      </w:r>
    </w:p>
    <w:p w14:paraId="7875685C" w14:textId="564E2B98" w:rsidR="00007383" w:rsidRDefault="00D37F24">
      <w:pPr>
        <w:spacing w:before="200"/>
        <w:jc w:val="left"/>
      </w:pPr>
      <w:r>
        <w:rPr>
          <w:b/>
        </w:rPr>
        <w:t xml:space="preserve">3.2 </w:t>
      </w:r>
      <w:r w:rsidR="00E075F3">
        <w:rPr>
          <w:b/>
          <w:lang/>
        </w:rPr>
        <w:tab/>
      </w:r>
      <w:r>
        <w:rPr>
          <w:b/>
        </w:rPr>
        <w:t>Research Design and Ethics</w:t>
      </w:r>
    </w:p>
    <w:p w14:paraId="4B3192BF" w14:textId="77777777" w:rsidR="00007383" w:rsidRDefault="00D37F24">
      <w:r>
        <w:t>A convergent mixed-methods design combined quantitative and qualitative strands (Creswell &amp; Plano Clark, 2018). The protocol was reviewed and approved by the institutional research ethics committee of the authors’ institution; all participants gave informed consent, participation was voluntary, and focus group discussions were held in Hausa, English, or both according to participant preference.</w:t>
      </w:r>
    </w:p>
    <w:p w14:paraId="47D796DB" w14:textId="3F5FBA0D" w:rsidR="00007383" w:rsidRDefault="00D37F24">
      <w:pPr>
        <w:spacing w:before="200"/>
        <w:jc w:val="left"/>
      </w:pPr>
      <w:r>
        <w:rPr>
          <w:b/>
        </w:rPr>
        <w:lastRenderedPageBreak/>
        <w:t xml:space="preserve">3.3 </w:t>
      </w:r>
      <w:r w:rsidR="00E075F3">
        <w:rPr>
          <w:b/>
          <w:lang/>
        </w:rPr>
        <w:tab/>
      </w:r>
      <w:r>
        <w:rPr>
          <w:b/>
        </w:rPr>
        <w:t>Spatial Analysis</w:t>
      </w:r>
    </w:p>
    <w:p w14:paraId="34C337DC" w14:textId="77777777" w:rsidR="00007383" w:rsidRDefault="00D37F24">
      <w:r>
        <w:t>Existing green spaces, land use, and built-up density were mapped from high-resolution satellite imagery (Google Earth Pro, 2023) in ArcGIS 10.8. The Normalized Difference Vegetation Index (NDVI) was computed from cloud-free imagery to quantify vegetation cover, and mean NDVI was summarized by settlement. Cadastral records from the Kaduna State Geographic Information Service (KADGIS), where available, were used to characterize tenure patterns.</w:t>
      </w:r>
    </w:p>
    <w:p w14:paraId="4042C6C4" w14:textId="56715EC9" w:rsidR="00007383" w:rsidRDefault="00D37F24">
      <w:pPr>
        <w:spacing w:before="200"/>
        <w:jc w:val="left"/>
      </w:pPr>
      <w:r>
        <w:rPr>
          <w:b/>
        </w:rPr>
        <w:t xml:space="preserve">3.4 </w:t>
      </w:r>
      <w:r w:rsidR="00E075F3">
        <w:rPr>
          <w:b/>
          <w:lang/>
        </w:rPr>
        <w:tab/>
      </w:r>
      <w:r>
        <w:rPr>
          <w:b/>
        </w:rPr>
        <w:t>Household Survey</w:t>
      </w:r>
    </w:p>
    <w:p w14:paraId="5CD030DB" w14:textId="77777777" w:rsidR="00007383" w:rsidRDefault="00D37F24">
      <w:r>
        <w:t>A stratified random sample of 450 households (150 per settlement) was surveyed with a structured questionnaire covering demographics, housing conditions, access to and use of green space, perceived environmental problems, tenure security, and willingness to participate in GI initiatives. The sample size was determined with the Cochran formula for finite populations (95% confidence level; 5% margin of error), with strata defined by settlement and neighborhood zone.</w:t>
      </w:r>
    </w:p>
    <w:p w14:paraId="39EF31BA" w14:textId="42AE9A3C" w:rsidR="00007383" w:rsidRDefault="00D37F24">
      <w:pPr>
        <w:spacing w:before="200"/>
        <w:jc w:val="left"/>
      </w:pPr>
      <w:r>
        <w:rPr>
          <w:b/>
        </w:rPr>
        <w:t xml:space="preserve">3.5 </w:t>
      </w:r>
      <w:r w:rsidR="00E075F3">
        <w:rPr>
          <w:b/>
          <w:lang/>
        </w:rPr>
        <w:tab/>
      </w:r>
      <w:r>
        <w:rPr>
          <w:b/>
        </w:rPr>
        <w:t>Key Informant Interviews and Focus Groups</w:t>
      </w:r>
    </w:p>
    <w:p w14:paraId="28538330" w14:textId="77777777" w:rsidR="00007383" w:rsidRDefault="00D37F24">
      <w:r>
        <w:t>Twenty-five semi-structured interviews were conducted with officials of the Kaduna State Urban Planning and Development Authority (KASUPDA), local government councillors, traditional leaders (maigida), community development association chairpersons, NGO representatives, and academic experts. Six focus group discussions (two per settlement; 8–12 participants each; mixed gender) explored perceptions of GI, preferred interventions, and displacement concerns.</w:t>
      </w:r>
    </w:p>
    <w:p w14:paraId="26DCA161" w14:textId="4F71253E" w:rsidR="00007383" w:rsidRDefault="00D37F24">
      <w:pPr>
        <w:spacing w:before="200"/>
        <w:jc w:val="left"/>
      </w:pPr>
      <w:r>
        <w:rPr>
          <w:b/>
        </w:rPr>
        <w:t xml:space="preserve">3.6 </w:t>
      </w:r>
      <w:r w:rsidR="00E075F3">
        <w:rPr>
          <w:b/>
          <w:lang/>
        </w:rPr>
        <w:tab/>
      </w:r>
      <w:r>
        <w:rPr>
          <w:b/>
        </w:rPr>
        <w:t>Document Review and Data Analysis</w:t>
      </w:r>
    </w:p>
    <w:p w14:paraId="7927D103" w14:textId="77777777" w:rsidR="00007383" w:rsidRDefault="00D37F24">
      <w:r>
        <w:t>Planning instruments reviewed included the Kaduna Master Plan (1978 and revisions), the Kaduna State Development Plan (2016–2020), the Kaduna State Urban and Regional Planning Law (2018), and environmental impact assessments of recent projects. Survey data were analyzed with descriptive statistics; qualitative data were coded thematically in NVivo 14 using a framework derived from the conceptual categories in Section 2.4; and spatial outputs were produced in ArcGIS.</w:t>
      </w:r>
    </w:p>
    <w:p w14:paraId="078A6AF0" w14:textId="4A1CD701" w:rsidR="00007383" w:rsidRDefault="00D37F24">
      <w:pPr>
        <w:spacing w:before="200"/>
        <w:jc w:val="left"/>
      </w:pPr>
      <w:r>
        <w:rPr>
          <w:b/>
        </w:rPr>
        <w:t xml:space="preserve">4. </w:t>
      </w:r>
      <w:r w:rsidR="00E075F3">
        <w:rPr>
          <w:b/>
          <w:lang/>
        </w:rPr>
        <w:tab/>
      </w:r>
      <w:r>
        <w:rPr>
          <w:b/>
        </w:rPr>
        <w:t>RESULTS</w:t>
      </w:r>
    </w:p>
    <w:p w14:paraId="64351CA0" w14:textId="58943E09" w:rsidR="00007383" w:rsidRDefault="00D37F24">
      <w:pPr>
        <w:spacing w:before="200"/>
        <w:jc w:val="left"/>
      </w:pPr>
      <w:r>
        <w:rPr>
          <w:b/>
        </w:rPr>
        <w:t xml:space="preserve">4.1 </w:t>
      </w:r>
      <w:r w:rsidR="00E075F3">
        <w:rPr>
          <w:b/>
          <w:lang/>
        </w:rPr>
        <w:tab/>
      </w:r>
      <w:r>
        <w:rPr>
          <w:b/>
        </w:rPr>
        <w:t>Spatial Patterns of Green Infrastructure</w:t>
      </w:r>
    </w:p>
    <w:p w14:paraId="6498231A" w14:textId="77777777" w:rsidR="00007383" w:rsidRDefault="00D37F24">
      <w:r>
        <w:t>Spatial analysis reveals a pronounced green-inequality gradient across the three settlements (Table 1). Rigasa’s mean NDVI of 0.12 reflects near-total conversion of land to high-density residential use, with vegetation confined to isolated compound trees and marginal roadside spaces. Tudun Wada (0.21) benefits from drainage corridors and partially upgraded zones, indicating that even minimal infrastructure investment creates ecological niches. Kakuri (0.28) retains comparatively contiguous vegetation associated with industrial buffer zones and abandoned plots. However, NDVI overstates functionality: 42% of Kakuri respondents reported living near green space, yet field observation and survey commentary consistently described these areas as underused because of poor maintenance, waste dumping, and insecurity. Availability and usability of GI must therefore be assessed separately.</w:t>
      </w:r>
    </w:p>
    <w:p w14:paraId="29A9CA9F" w14:textId="77777777" w:rsidR="00EC1E5D" w:rsidRDefault="00EC1E5D">
      <w:pPr>
        <w:spacing w:before="160" w:after="60"/>
        <w:jc w:val="left"/>
        <w:rPr>
          <w:b/>
          <w:sz w:val="22"/>
          <w:lang/>
        </w:rPr>
      </w:pPr>
    </w:p>
    <w:p w14:paraId="2C631D7A" w14:textId="77777777" w:rsidR="00EC1E5D" w:rsidRDefault="00EC1E5D">
      <w:pPr>
        <w:spacing w:before="160" w:after="60"/>
        <w:jc w:val="left"/>
        <w:rPr>
          <w:b/>
          <w:sz w:val="22"/>
          <w:lang/>
        </w:rPr>
      </w:pPr>
    </w:p>
    <w:p w14:paraId="3B879BC0" w14:textId="71CEFA3E" w:rsidR="00007383" w:rsidRDefault="00D37F24">
      <w:pPr>
        <w:spacing w:before="160" w:after="60"/>
        <w:jc w:val="left"/>
      </w:pPr>
      <w:r>
        <w:rPr>
          <w:b/>
          <w:sz w:val="22"/>
        </w:rPr>
        <w:lastRenderedPageBreak/>
        <w:t>Table 1. Green infrastructure characteristics of the study settlements</w:t>
      </w:r>
    </w:p>
    <w:tbl>
      <w:tblPr>
        <w:tblStyle w:val="TableGrid"/>
        <w:tblW w:w="0" w:type="auto"/>
        <w:tblLook w:val="04A0" w:firstRow="1" w:lastRow="0" w:firstColumn="1" w:lastColumn="0" w:noHBand="0" w:noVBand="1"/>
      </w:tblPr>
      <w:tblGrid>
        <w:gridCol w:w="1728"/>
        <w:gridCol w:w="2208"/>
        <w:gridCol w:w="1248"/>
        <w:gridCol w:w="2012"/>
        <w:gridCol w:w="2268"/>
      </w:tblGrid>
      <w:tr w:rsidR="00007383" w14:paraId="109D329B" w14:textId="77777777" w:rsidTr="00EC1E5D">
        <w:tc>
          <w:tcPr>
            <w:tcW w:w="1728" w:type="dxa"/>
          </w:tcPr>
          <w:p w14:paraId="5C6EDF87" w14:textId="77777777" w:rsidR="00007383" w:rsidRDefault="00D37F24">
            <w:pPr>
              <w:spacing w:after="40"/>
            </w:pPr>
            <w:r>
              <w:rPr>
                <w:b/>
                <w:sz w:val="22"/>
              </w:rPr>
              <w:t>Settlement (LGA)</w:t>
            </w:r>
          </w:p>
        </w:tc>
        <w:tc>
          <w:tcPr>
            <w:tcW w:w="2208" w:type="dxa"/>
          </w:tcPr>
          <w:p w14:paraId="24822286" w14:textId="77777777" w:rsidR="00007383" w:rsidRDefault="00D37F24">
            <w:pPr>
              <w:spacing w:after="40"/>
            </w:pPr>
            <w:r>
              <w:rPr>
                <w:b/>
                <w:sz w:val="22"/>
              </w:rPr>
              <w:t>Approx. density character</w:t>
            </w:r>
          </w:p>
        </w:tc>
        <w:tc>
          <w:tcPr>
            <w:tcW w:w="1248" w:type="dxa"/>
          </w:tcPr>
          <w:p w14:paraId="2F733869" w14:textId="77777777" w:rsidR="00007383" w:rsidRDefault="00D37F24">
            <w:pPr>
              <w:spacing w:after="40"/>
            </w:pPr>
            <w:r>
              <w:rPr>
                <w:b/>
                <w:sz w:val="22"/>
              </w:rPr>
              <w:t>Mean NDVI</w:t>
            </w:r>
          </w:p>
        </w:tc>
        <w:tc>
          <w:tcPr>
            <w:tcW w:w="2012" w:type="dxa"/>
          </w:tcPr>
          <w:p w14:paraId="7247E3CA" w14:textId="77777777" w:rsidR="00007383" w:rsidRDefault="00D37F24">
            <w:pPr>
              <w:spacing w:after="40"/>
            </w:pPr>
            <w:r>
              <w:rPr>
                <w:b/>
                <w:sz w:val="22"/>
              </w:rPr>
              <w:t>Dominant green asset</w:t>
            </w:r>
          </w:p>
        </w:tc>
        <w:tc>
          <w:tcPr>
            <w:tcW w:w="2268" w:type="dxa"/>
          </w:tcPr>
          <w:p w14:paraId="4AFABFCF" w14:textId="77777777" w:rsidR="00007383" w:rsidRDefault="00D37F24">
            <w:pPr>
              <w:spacing w:after="40"/>
            </w:pPr>
            <w:r>
              <w:rPr>
                <w:b/>
                <w:sz w:val="22"/>
              </w:rPr>
              <w:t>Principal constraint</w:t>
            </w:r>
          </w:p>
        </w:tc>
      </w:tr>
      <w:tr w:rsidR="00007383" w14:paraId="50A24B9B" w14:textId="77777777" w:rsidTr="00EC1E5D">
        <w:tc>
          <w:tcPr>
            <w:tcW w:w="1728" w:type="dxa"/>
          </w:tcPr>
          <w:p w14:paraId="79AB25F1" w14:textId="77777777" w:rsidR="00007383" w:rsidRDefault="00D37F24">
            <w:pPr>
              <w:spacing w:after="40"/>
            </w:pPr>
            <w:r>
              <w:rPr>
                <w:sz w:val="22"/>
              </w:rPr>
              <w:t>Rigasa (Igabi)</w:t>
            </w:r>
          </w:p>
        </w:tc>
        <w:tc>
          <w:tcPr>
            <w:tcW w:w="2208" w:type="dxa"/>
          </w:tcPr>
          <w:p w14:paraId="35DB9340" w14:textId="77777777" w:rsidR="00007383" w:rsidRDefault="00D37F24">
            <w:pPr>
              <w:spacing w:after="40"/>
            </w:pPr>
            <w:r>
              <w:rPr>
                <w:sz w:val="22"/>
              </w:rPr>
              <w:t>Very high (&gt;400 persons/ha in core zones)</w:t>
            </w:r>
          </w:p>
        </w:tc>
        <w:tc>
          <w:tcPr>
            <w:tcW w:w="1248" w:type="dxa"/>
          </w:tcPr>
          <w:p w14:paraId="43ACCC1A" w14:textId="77777777" w:rsidR="00007383" w:rsidRDefault="00D37F24">
            <w:pPr>
              <w:spacing w:after="40"/>
            </w:pPr>
            <w:r>
              <w:rPr>
                <w:sz w:val="22"/>
              </w:rPr>
              <w:t>0.12</w:t>
            </w:r>
          </w:p>
        </w:tc>
        <w:tc>
          <w:tcPr>
            <w:tcW w:w="2012" w:type="dxa"/>
          </w:tcPr>
          <w:p w14:paraId="571ED0B8" w14:textId="77777777" w:rsidR="00007383" w:rsidRDefault="00D37F24">
            <w:pPr>
              <w:spacing w:after="40"/>
            </w:pPr>
            <w:r>
              <w:rPr>
                <w:sz w:val="22"/>
              </w:rPr>
              <w:t>Isolated compound trees; marginal roadside vegetation</w:t>
            </w:r>
          </w:p>
        </w:tc>
        <w:tc>
          <w:tcPr>
            <w:tcW w:w="2268" w:type="dxa"/>
          </w:tcPr>
          <w:p w14:paraId="543A036D" w14:textId="77777777" w:rsidR="00007383" w:rsidRDefault="00D37F24">
            <w:pPr>
              <w:spacing w:after="40"/>
            </w:pPr>
            <w:r>
              <w:rPr>
                <w:sz w:val="22"/>
              </w:rPr>
              <w:t>Land pressure; flooding; minimal open space</w:t>
            </w:r>
          </w:p>
        </w:tc>
      </w:tr>
      <w:tr w:rsidR="00007383" w14:paraId="69AEB3D7" w14:textId="77777777" w:rsidTr="00EC1E5D">
        <w:tc>
          <w:tcPr>
            <w:tcW w:w="1728" w:type="dxa"/>
          </w:tcPr>
          <w:p w14:paraId="7D3B5F6F" w14:textId="77777777" w:rsidR="00007383" w:rsidRDefault="00D37F24">
            <w:pPr>
              <w:spacing w:after="40"/>
            </w:pPr>
            <w:r>
              <w:rPr>
                <w:sz w:val="22"/>
              </w:rPr>
              <w:t>Tudun Wada (Kaduna South)</w:t>
            </w:r>
          </w:p>
        </w:tc>
        <w:tc>
          <w:tcPr>
            <w:tcW w:w="2208" w:type="dxa"/>
          </w:tcPr>
          <w:p w14:paraId="69C91544" w14:textId="77777777" w:rsidR="00007383" w:rsidRDefault="00D37F24">
            <w:pPr>
              <w:spacing w:after="40"/>
            </w:pPr>
            <w:r>
              <w:rPr>
                <w:sz w:val="22"/>
              </w:rPr>
              <w:t>High, mixed formal/informal</w:t>
            </w:r>
          </w:p>
        </w:tc>
        <w:tc>
          <w:tcPr>
            <w:tcW w:w="1248" w:type="dxa"/>
          </w:tcPr>
          <w:p w14:paraId="6241B9C7" w14:textId="77777777" w:rsidR="00007383" w:rsidRDefault="00D37F24">
            <w:pPr>
              <w:spacing w:after="40"/>
            </w:pPr>
            <w:r>
              <w:rPr>
                <w:sz w:val="22"/>
              </w:rPr>
              <w:t>0.21</w:t>
            </w:r>
          </w:p>
        </w:tc>
        <w:tc>
          <w:tcPr>
            <w:tcW w:w="2012" w:type="dxa"/>
          </w:tcPr>
          <w:p w14:paraId="0E80EC99" w14:textId="77777777" w:rsidR="00007383" w:rsidRDefault="00D37F24">
            <w:pPr>
              <w:spacing w:after="40"/>
            </w:pPr>
            <w:r>
              <w:rPr>
                <w:sz w:val="22"/>
              </w:rPr>
              <w:t>Drainage-corridor and roadside vegetation</w:t>
            </w:r>
          </w:p>
        </w:tc>
        <w:tc>
          <w:tcPr>
            <w:tcW w:w="2268" w:type="dxa"/>
          </w:tcPr>
          <w:p w14:paraId="0301733E" w14:textId="77777777" w:rsidR="00007383" w:rsidRDefault="00D37F24">
            <w:pPr>
              <w:spacing w:after="40"/>
            </w:pPr>
            <w:r>
              <w:rPr>
                <w:sz w:val="22"/>
              </w:rPr>
              <w:t>Waste dumping; fragmented tenure</w:t>
            </w:r>
          </w:p>
        </w:tc>
      </w:tr>
      <w:tr w:rsidR="00007383" w14:paraId="3392F85C" w14:textId="77777777" w:rsidTr="00EC1E5D">
        <w:tc>
          <w:tcPr>
            <w:tcW w:w="1728" w:type="dxa"/>
          </w:tcPr>
          <w:p w14:paraId="6E36204A" w14:textId="77777777" w:rsidR="00007383" w:rsidRDefault="00D37F24">
            <w:pPr>
              <w:spacing w:after="40"/>
            </w:pPr>
            <w:r>
              <w:rPr>
                <w:sz w:val="22"/>
              </w:rPr>
              <w:t>Kakuri (Kaduna South)</w:t>
            </w:r>
          </w:p>
        </w:tc>
        <w:tc>
          <w:tcPr>
            <w:tcW w:w="2208" w:type="dxa"/>
          </w:tcPr>
          <w:p w14:paraId="2D8197EB" w14:textId="77777777" w:rsidR="00007383" w:rsidRDefault="00D37F24">
            <w:pPr>
              <w:spacing w:after="40"/>
            </w:pPr>
            <w:r>
              <w:rPr>
                <w:sz w:val="22"/>
              </w:rPr>
              <w:t>Moderate–high; post-industrial</w:t>
            </w:r>
          </w:p>
        </w:tc>
        <w:tc>
          <w:tcPr>
            <w:tcW w:w="1248" w:type="dxa"/>
          </w:tcPr>
          <w:p w14:paraId="5FADCE89" w14:textId="77777777" w:rsidR="00007383" w:rsidRDefault="00D37F24">
            <w:pPr>
              <w:spacing w:after="40"/>
            </w:pPr>
            <w:r>
              <w:rPr>
                <w:sz w:val="22"/>
              </w:rPr>
              <w:t>0.28</w:t>
            </w:r>
          </w:p>
        </w:tc>
        <w:tc>
          <w:tcPr>
            <w:tcW w:w="2012" w:type="dxa"/>
          </w:tcPr>
          <w:p w14:paraId="29D95881" w14:textId="77777777" w:rsidR="00007383" w:rsidRDefault="00D37F24">
            <w:pPr>
              <w:spacing w:after="40"/>
            </w:pPr>
            <w:r>
              <w:rPr>
                <w:sz w:val="22"/>
              </w:rPr>
              <w:t>Residual industrial green belts; compound trees</w:t>
            </w:r>
          </w:p>
        </w:tc>
        <w:tc>
          <w:tcPr>
            <w:tcW w:w="2268" w:type="dxa"/>
          </w:tcPr>
          <w:p w14:paraId="12251493" w14:textId="77777777" w:rsidR="00007383" w:rsidRDefault="00D37F24">
            <w:pPr>
              <w:spacing w:after="40"/>
            </w:pPr>
            <w:r>
              <w:rPr>
                <w:sz w:val="22"/>
              </w:rPr>
              <w:t>Contaminated land; underuse of spaces</w:t>
            </w:r>
          </w:p>
        </w:tc>
      </w:tr>
    </w:tbl>
    <w:p w14:paraId="284EBAAA" w14:textId="513E2813" w:rsidR="00007383" w:rsidRDefault="00D37F24">
      <w:pPr>
        <w:spacing w:before="200"/>
        <w:jc w:val="left"/>
      </w:pPr>
      <w:r>
        <w:rPr>
          <w:b/>
        </w:rPr>
        <w:t xml:space="preserve">4.2 </w:t>
      </w:r>
      <w:r w:rsidR="00E075F3">
        <w:rPr>
          <w:b/>
          <w:lang/>
        </w:rPr>
        <w:tab/>
      </w:r>
      <w:r>
        <w:rPr>
          <w:b/>
        </w:rPr>
        <w:t>Everyday Green Assets in Unguwa Areas</w:t>
      </w:r>
    </w:p>
    <w:p w14:paraId="6F5BCC0B" w14:textId="77777777" w:rsidR="00007383" w:rsidRDefault="00D37F24">
      <w:r>
        <w:t>Four informal GI systems were documented (Table 2). First, compound-level vegetation: over 70% of surveyed households keep trees such as mango, neem, and guava within their compounds, providing shade, indoor temperature moderation, fruit, and medicine—the primary form of thermal regulation in dense Rigasa. Second, linear roadside ecosystems along footpaths and roads function as informal green corridors that reduce dust and noise, host social interaction and informal markets, and in Tudun Wada double as secondary drainage pathways. Third, seasonal floodplain agriculture on low-lying land supports household food security and income while maintaining permeable surfaces that attenuate rainy-season runoff, though these areas face encroachment and speculation. Fourth, sacred and communal green spaces around mosques, churches, and community centers serve as micro-climatic refuges and gathering points where public open space is scarce. Collectively, these systems are decentralized, multifunctional, and embedded in everyday practice—supporting the position that GI in informal settlements should be understood as a living socio-ecological network rather than a deficit to be remedied by conventional parks (Cilliers et al., 2013; Mensah, 2014).</w:t>
      </w:r>
    </w:p>
    <w:p w14:paraId="2FAFBC5B" w14:textId="77777777" w:rsidR="00007383" w:rsidRDefault="00D37F24">
      <w:pPr>
        <w:spacing w:before="160" w:after="60"/>
        <w:jc w:val="left"/>
      </w:pPr>
      <w:r>
        <w:rPr>
          <w:b/>
          <w:sz w:val="22"/>
        </w:rPr>
        <w:t>Table 2. Typology of informal green infrastructure documented in the study settlements</w:t>
      </w:r>
    </w:p>
    <w:tbl>
      <w:tblPr>
        <w:tblStyle w:val="TableGrid"/>
        <w:tblW w:w="0" w:type="auto"/>
        <w:tblLook w:val="04A0" w:firstRow="1" w:lastRow="0" w:firstColumn="1" w:lastColumn="0" w:noHBand="0" w:noVBand="1"/>
      </w:tblPr>
      <w:tblGrid>
        <w:gridCol w:w="1809"/>
        <w:gridCol w:w="2511"/>
        <w:gridCol w:w="2160"/>
        <w:gridCol w:w="2984"/>
      </w:tblGrid>
      <w:tr w:rsidR="00007383" w14:paraId="7ED2A6E2" w14:textId="77777777" w:rsidTr="00EC1E5D">
        <w:tc>
          <w:tcPr>
            <w:tcW w:w="1809" w:type="dxa"/>
          </w:tcPr>
          <w:p w14:paraId="03D9BA5E" w14:textId="77777777" w:rsidR="00007383" w:rsidRDefault="00D37F24">
            <w:pPr>
              <w:spacing w:after="40"/>
            </w:pPr>
            <w:r>
              <w:rPr>
                <w:b/>
                <w:sz w:val="22"/>
              </w:rPr>
              <w:t>System</w:t>
            </w:r>
          </w:p>
        </w:tc>
        <w:tc>
          <w:tcPr>
            <w:tcW w:w="2511" w:type="dxa"/>
          </w:tcPr>
          <w:p w14:paraId="52CF4A51" w14:textId="77777777" w:rsidR="00007383" w:rsidRDefault="00D37F24">
            <w:pPr>
              <w:spacing w:after="40"/>
            </w:pPr>
            <w:r>
              <w:rPr>
                <w:b/>
                <w:sz w:val="22"/>
              </w:rPr>
              <w:t>Typical location</w:t>
            </w:r>
          </w:p>
        </w:tc>
        <w:tc>
          <w:tcPr>
            <w:tcW w:w="2160" w:type="dxa"/>
          </w:tcPr>
          <w:p w14:paraId="7562D8AB" w14:textId="77777777" w:rsidR="00007383" w:rsidRDefault="00D37F24">
            <w:pPr>
              <w:spacing w:after="40"/>
            </w:pPr>
            <w:r>
              <w:rPr>
                <w:b/>
                <w:sz w:val="22"/>
              </w:rPr>
              <w:t>Ecosystem services</w:t>
            </w:r>
          </w:p>
        </w:tc>
        <w:tc>
          <w:tcPr>
            <w:tcW w:w="2984" w:type="dxa"/>
          </w:tcPr>
          <w:p w14:paraId="6C1F10C1" w14:textId="77777777" w:rsidR="00007383" w:rsidRDefault="00D37F24">
            <w:pPr>
              <w:spacing w:after="40"/>
            </w:pPr>
            <w:r>
              <w:rPr>
                <w:b/>
                <w:sz w:val="22"/>
              </w:rPr>
              <w:t>Pressures</w:t>
            </w:r>
          </w:p>
        </w:tc>
      </w:tr>
      <w:tr w:rsidR="00007383" w14:paraId="2EC29A37" w14:textId="77777777" w:rsidTr="00EC1E5D">
        <w:tc>
          <w:tcPr>
            <w:tcW w:w="1809" w:type="dxa"/>
          </w:tcPr>
          <w:p w14:paraId="72592628" w14:textId="77777777" w:rsidR="00007383" w:rsidRDefault="00D37F24">
            <w:pPr>
              <w:spacing w:after="40"/>
            </w:pPr>
            <w:r>
              <w:rPr>
                <w:sz w:val="22"/>
              </w:rPr>
              <w:t>Compound trees</w:t>
            </w:r>
          </w:p>
        </w:tc>
        <w:tc>
          <w:tcPr>
            <w:tcW w:w="2511" w:type="dxa"/>
          </w:tcPr>
          <w:p w14:paraId="6119C8B0" w14:textId="77777777" w:rsidR="00007383" w:rsidRDefault="00D37F24">
            <w:pPr>
              <w:spacing w:after="40"/>
            </w:pPr>
            <w:r>
              <w:rPr>
                <w:sz w:val="22"/>
              </w:rPr>
              <w:t>Private compounds (70%+ of households)</w:t>
            </w:r>
          </w:p>
        </w:tc>
        <w:tc>
          <w:tcPr>
            <w:tcW w:w="2160" w:type="dxa"/>
          </w:tcPr>
          <w:p w14:paraId="3534E107" w14:textId="77777777" w:rsidR="00007383" w:rsidRDefault="00D37F24">
            <w:pPr>
              <w:spacing w:after="40"/>
            </w:pPr>
            <w:r>
              <w:rPr>
                <w:sz w:val="22"/>
              </w:rPr>
              <w:t>Shade; cooling; food; medicine</w:t>
            </w:r>
          </w:p>
        </w:tc>
        <w:tc>
          <w:tcPr>
            <w:tcW w:w="2984" w:type="dxa"/>
          </w:tcPr>
          <w:p w14:paraId="48A9A242" w14:textId="77777777" w:rsidR="00007383" w:rsidRDefault="00D37F24">
            <w:pPr>
              <w:spacing w:after="40"/>
            </w:pPr>
            <w:r>
              <w:rPr>
                <w:sz w:val="22"/>
              </w:rPr>
              <w:t>Tenure insecurity; plot subdivision</w:t>
            </w:r>
          </w:p>
        </w:tc>
      </w:tr>
      <w:tr w:rsidR="00007383" w14:paraId="4B1CC464" w14:textId="77777777" w:rsidTr="00EC1E5D">
        <w:tc>
          <w:tcPr>
            <w:tcW w:w="1809" w:type="dxa"/>
          </w:tcPr>
          <w:p w14:paraId="7AA2FA75" w14:textId="77777777" w:rsidR="00007383" w:rsidRDefault="00D37F24">
            <w:pPr>
              <w:spacing w:after="40"/>
            </w:pPr>
            <w:r>
              <w:rPr>
                <w:sz w:val="22"/>
              </w:rPr>
              <w:t>Roadside vegetation</w:t>
            </w:r>
          </w:p>
        </w:tc>
        <w:tc>
          <w:tcPr>
            <w:tcW w:w="2511" w:type="dxa"/>
          </w:tcPr>
          <w:p w14:paraId="596F4979" w14:textId="77777777" w:rsidR="00007383" w:rsidRDefault="00D37F24">
            <w:pPr>
              <w:spacing w:after="40"/>
            </w:pPr>
            <w:r>
              <w:rPr>
                <w:sz w:val="22"/>
              </w:rPr>
              <w:t>Footpaths, road verges</w:t>
            </w:r>
          </w:p>
        </w:tc>
        <w:tc>
          <w:tcPr>
            <w:tcW w:w="2160" w:type="dxa"/>
          </w:tcPr>
          <w:p w14:paraId="1D628140" w14:textId="77777777" w:rsidR="00007383" w:rsidRDefault="00D37F24">
            <w:pPr>
              <w:spacing w:after="40"/>
            </w:pPr>
            <w:r>
              <w:rPr>
                <w:sz w:val="22"/>
              </w:rPr>
              <w:t>Dust/noise reduction; drainage; social space</w:t>
            </w:r>
          </w:p>
        </w:tc>
        <w:tc>
          <w:tcPr>
            <w:tcW w:w="2984" w:type="dxa"/>
          </w:tcPr>
          <w:p w14:paraId="67052301" w14:textId="77777777" w:rsidR="00007383" w:rsidRDefault="00D37F24">
            <w:pPr>
              <w:spacing w:after="40"/>
            </w:pPr>
            <w:r>
              <w:rPr>
                <w:sz w:val="22"/>
              </w:rPr>
              <w:t>Clearance for road works; waste dumping</w:t>
            </w:r>
          </w:p>
        </w:tc>
      </w:tr>
      <w:tr w:rsidR="00007383" w14:paraId="7D21BFC0" w14:textId="77777777" w:rsidTr="00EC1E5D">
        <w:tc>
          <w:tcPr>
            <w:tcW w:w="1809" w:type="dxa"/>
          </w:tcPr>
          <w:p w14:paraId="29A700CE" w14:textId="77777777" w:rsidR="00007383" w:rsidRDefault="00D37F24">
            <w:pPr>
              <w:spacing w:after="40"/>
            </w:pPr>
            <w:r>
              <w:rPr>
                <w:sz w:val="22"/>
              </w:rPr>
              <w:t>Floodplain agriculture</w:t>
            </w:r>
          </w:p>
        </w:tc>
        <w:tc>
          <w:tcPr>
            <w:tcW w:w="2511" w:type="dxa"/>
          </w:tcPr>
          <w:p w14:paraId="06D69576" w14:textId="77777777" w:rsidR="00007383" w:rsidRDefault="00D37F24">
            <w:pPr>
              <w:spacing w:after="40"/>
            </w:pPr>
            <w:r>
              <w:rPr>
                <w:sz w:val="22"/>
              </w:rPr>
              <w:t>Seasonally flooded lowlands</w:t>
            </w:r>
          </w:p>
        </w:tc>
        <w:tc>
          <w:tcPr>
            <w:tcW w:w="2160" w:type="dxa"/>
          </w:tcPr>
          <w:p w14:paraId="7130934D" w14:textId="77777777" w:rsidR="00007383" w:rsidRDefault="00D37F24">
            <w:pPr>
              <w:spacing w:after="40"/>
            </w:pPr>
            <w:r>
              <w:rPr>
                <w:sz w:val="22"/>
              </w:rPr>
              <w:t>Food security; income; runoff attenuation</w:t>
            </w:r>
          </w:p>
        </w:tc>
        <w:tc>
          <w:tcPr>
            <w:tcW w:w="2984" w:type="dxa"/>
          </w:tcPr>
          <w:p w14:paraId="6F8FDD17" w14:textId="77777777" w:rsidR="00007383" w:rsidRDefault="00D37F24">
            <w:pPr>
              <w:spacing w:after="40"/>
            </w:pPr>
            <w:r>
              <w:rPr>
                <w:sz w:val="22"/>
              </w:rPr>
              <w:t>Encroachment; land speculation</w:t>
            </w:r>
          </w:p>
        </w:tc>
      </w:tr>
      <w:tr w:rsidR="00007383" w14:paraId="25D166BA" w14:textId="77777777" w:rsidTr="00EC1E5D">
        <w:tc>
          <w:tcPr>
            <w:tcW w:w="1809" w:type="dxa"/>
          </w:tcPr>
          <w:p w14:paraId="12C62775" w14:textId="77777777" w:rsidR="00007383" w:rsidRDefault="00D37F24">
            <w:pPr>
              <w:spacing w:after="40"/>
            </w:pPr>
            <w:r>
              <w:rPr>
                <w:sz w:val="22"/>
              </w:rPr>
              <w:t>Sacred/communal greens</w:t>
            </w:r>
          </w:p>
        </w:tc>
        <w:tc>
          <w:tcPr>
            <w:tcW w:w="2511" w:type="dxa"/>
          </w:tcPr>
          <w:p w14:paraId="56E46CF9" w14:textId="77777777" w:rsidR="00007383" w:rsidRDefault="00D37F24">
            <w:pPr>
              <w:spacing w:after="40"/>
            </w:pPr>
            <w:r>
              <w:rPr>
                <w:sz w:val="22"/>
              </w:rPr>
              <w:t>Mosques, churches, community centers</w:t>
            </w:r>
          </w:p>
        </w:tc>
        <w:tc>
          <w:tcPr>
            <w:tcW w:w="2160" w:type="dxa"/>
          </w:tcPr>
          <w:p w14:paraId="14357283" w14:textId="77777777" w:rsidR="00007383" w:rsidRDefault="00D37F24">
            <w:pPr>
              <w:spacing w:after="40"/>
            </w:pPr>
            <w:r>
              <w:rPr>
                <w:sz w:val="22"/>
              </w:rPr>
              <w:t>Cooling refuges; gathering space</w:t>
            </w:r>
          </w:p>
        </w:tc>
        <w:tc>
          <w:tcPr>
            <w:tcW w:w="2984" w:type="dxa"/>
          </w:tcPr>
          <w:p w14:paraId="6176CE33" w14:textId="77777777" w:rsidR="00007383" w:rsidRDefault="00D37F24">
            <w:pPr>
              <w:spacing w:after="40"/>
            </w:pPr>
            <w:r>
              <w:rPr>
                <w:sz w:val="22"/>
              </w:rPr>
              <w:t>Maintenance costs; conflicting claims</w:t>
            </w:r>
          </w:p>
        </w:tc>
      </w:tr>
    </w:tbl>
    <w:p w14:paraId="6D5EAC22" w14:textId="2886AA40" w:rsidR="00007383" w:rsidRDefault="00D37F24">
      <w:pPr>
        <w:spacing w:before="200"/>
        <w:jc w:val="left"/>
      </w:pPr>
      <w:r>
        <w:rPr>
          <w:b/>
        </w:rPr>
        <w:t xml:space="preserve">4.3 </w:t>
      </w:r>
      <w:r w:rsidR="00E075F3">
        <w:rPr>
          <w:b/>
          <w:lang/>
        </w:rPr>
        <w:tab/>
      </w:r>
      <w:r>
        <w:rPr>
          <w:b/>
        </w:rPr>
        <w:t>Barriers to Green Infrastructure Integration</w:t>
      </w:r>
    </w:p>
    <w:p w14:paraId="63FE87E4" w14:textId="77777777" w:rsidR="00007383" w:rsidRDefault="00D37F24">
      <w:r>
        <w:t xml:space="preserve">Three interlocking families of barriers emerged consistently across the survey, interviews, and focus groups (Table 3). Institutional barriers center on exclusion from formal planning frameworks—policy documents acknowledge upgrading but offer no operational guidelines for GI in informal areas—and on fragmented mandates among KASUPDA, local governments, and traditional authorities, producing policy inertia. Technical and spatial barriers include densities </w:t>
      </w:r>
      <w:r>
        <w:lastRenderedPageBreak/>
        <w:t>exceeding 400 persons per hectare with no setbacks or open-space hierarchy, which preclude conventional GI; degraded soils and contaminated former industrial land in Kakuri requiring remediation; and chronic drainage failure and waste accumulation. Socio-economic barriers are decisive: fear of displacement—grounded in prior upgrading and demolition experiences in Nigerian cities—generates resistance even to beneficial interventions; ethnic, religious, and economic heterogeneity complicates collective land-use decisions; public investment concentrates in formal districts while informal areas depend on self-help; and tenure insecurity suppresses household investment in trees and landscaping despite stated willingness to contribute labor.</w:t>
      </w:r>
    </w:p>
    <w:p w14:paraId="36B0131D" w14:textId="77777777" w:rsidR="00007383" w:rsidRDefault="00D37F24">
      <w:pPr>
        <w:spacing w:before="160" w:after="60"/>
        <w:jc w:val="left"/>
      </w:pPr>
      <w:r>
        <w:rPr>
          <w:b/>
          <w:sz w:val="22"/>
        </w:rPr>
        <w:t>Table 3. Barriers to GI integration and their evidence base</w:t>
      </w:r>
    </w:p>
    <w:tbl>
      <w:tblPr>
        <w:tblStyle w:val="TableGrid"/>
        <w:tblW w:w="0" w:type="auto"/>
        <w:tblLook w:val="04A0" w:firstRow="1" w:lastRow="0" w:firstColumn="1" w:lastColumn="0" w:noHBand="0" w:noVBand="1"/>
      </w:tblPr>
      <w:tblGrid>
        <w:gridCol w:w="1809"/>
        <w:gridCol w:w="4013"/>
        <w:gridCol w:w="3642"/>
      </w:tblGrid>
      <w:tr w:rsidR="00007383" w14:paraId="20259948" w14:textId="77777777" w:rsidTr="00EC1E5D">
        <w:tc>
          <w:tcPr>
            <w:tcW w:w="1809" w:type="dxa"/>
          </w:tcPr>
          <w:p w14:paraId="1BDA1ED9" w14:textId="77777777" w:rsidR="00007383" w:rsidRDefault="00D37F24">
            <w:pPr>
              <w:spacing w:after="40"/>
            </w:pPr>
            <w:r>
              <w:rPr>
                <w:b/>
                <w:sz w:val="22"/>
              </w:rPr>
              <w:t>Barrier family</w:t>
            </w:r>
          </w:p>
        </w:tc>
        <w:tc>
          <w:tcPr>
            <w:tcW w:w="4013" w:type="dxa"/>
          </w:tcPr>
          <w:p w14:paraId="19DE201C" w14:textId="77777777" w:rsidR="00007383" w:rsidRDefault="00D37F24">
            <w:pPr>
              <w:spacing w:after="40"/>
            </w:pPr>
            <w:r>
              <w:rPr>
                <w:b/>
                <w:sz w:val="22"/>
              </w:rPr>
              <w:t>Key constraints</w:t>
            </w:r>
          </w:p>
        </w:tc>
        <w:tc>
          <w:tcPr>
            <w:tcW w:w="3642" w:type="dxa"/>
          </w:tcPr>
          <w:p w14:paraId="79828B44" w14:textId="77777777" w:rsidR="00007383" w:rsidRDefault="00D37F24">
            <w:pPr>
              <w:spacing w:after="40"/>
            </w:pPr>
            <w:r>
              <w:rPr>
                <w:b/>
                <w:sz w:val="22"/>
              </w:rPr>
              <w:t>Evidence base</w:t>
            </w:r>
          </w:p>
        </w:tc>
      </w:tr>
      <w:tr w:rsidR="00007383" w14:paraId="6B6D81DE" w14:textId="77777777" w:rsidTr="00EC1E5D">
        <w:tc>
          <w:tcPr>
            <w:tcW w:w="1809" w:type="dxa"/>
          </w:tcPr>
          <w:p w14:paraId="5D761015" w14:textId="77777777" w:rsidR="00007383" w:rsidRDefault="00D37F24">
            <w:pPr>
              <w:spacing w:after="40"/>
            </w:pPr>
            <w:r>
              <w:rPr>
                <w:sz w:val="22"/>
              </w:rPr>
              <w:t>Institutional</w:t>
            </w:r>
          </w:p>
        </w:tc>
        <w:tc>
          <w:tcPr>
            <w:tcW w:w="4013" w:type="dxa"/>
          </w:tcPr>
          <w:p w14:paraId="1553E6EC" w14:textId="77777777" w:rsidR="00007383" w:rsidRDefault="00D37F24">
            <w:pPr>
              <w:spacing w:after="40"/>
            </w:pPr>
            <w:r>
              <w:rPr>
                <w:sz w:val="22"/>
              </w:rPr>
              <w:t>Exclusion from planning frameworks; fragmented mandates (KASUPDA/LGA/traditional); no operational GI guidelines</w:t>
            </w:r>
          </w:p>
        </w:tc>
        <w:tc>
          <w:tcPr>
            <w:tcW w:w="3642" w:type="dxa"/>
          </w:tcPr>
          <w:p w14:paraId="4ECEB7C9" w14:textId="77777777" w:rsidR="00007383" w:rsidRDefault="00D37F24">
            <w:pPr>
              <w:spacing w:after="40"/>
            </w:pPr>
            <w:r>
              <w:rPr>
                <w:sz w:val="22"/>
              </w:rPr>
              <w:t>KII with agency officials; document review</w:t>
            </w:r>
          </w:p>
        </w:tc>
      </w:tr>
      <w:tr w:rsidR="00007383" w14:paraId="2D912534" w14:textId="77777777" w:rsidTr="00EC1E5D">
        <w:tc>
          <w:tcPr>
            <w:tcW w:w="1809" w:type="dxa"/>
          </w:tcPr>
          <w:p w14:paraId="631C1868" w14:textId="77777777" w:rsidR="00007383" w:rsidRDefault="00D37F24">
            <w:pPr>
              <w:spacing w:after="40"/>
            </w:pPr>
            <w:r>
              <w:rPr>
                <w:sz w:val="22"/>
              </w:rPr>
              <w:t>Technical/spatial</w:t>
            </w:r>
          </w:p>
        </w:tc>
        <w:tc>
          <w:tcPr>
            <w:tcW w:w="4013" w:type="dxa"/>
          </w:tcPr>
          <w:p w14:paraId="47E14A3D" w14:textId="77777777" w:rsidR="00007383" w:rsidRDefault="00D37F24">
            <w:pPr>
              <w:spacing w:after="40"/>
            </w:pPr>
            <w:r>
              <w:rPr>
                <w:sz w:val="22"/>
              </w:rPr>
              <w:t>Density &gt;400 persons/ha; no open-space hierarchy; contaminated land; drainage and waste failures</w:t>
            </w:r>
          </w:p>
        </w:tc>
        <w:tc>
          <w:tcPr>
            <w:tcW w:w="3642" w:type="dxa"/>
          </w:tcPr>
          <w:p w14:paraId="28E9D4B0" w14:textId="77777777" w:rsidR="00007383" w:rsidRDefault="00D37F24">
            <w:pPr>
              <w:spacing w:after="40"/>
            </w:pPr>
            <w:r>
              <w:rPr>
                <w:sz w:val="22"/>
              </w:rPr>
              <w:t>Spatial analysis; field observation; KII</w:t>
            </w:r>
          </w:p>
        </w:tc>
      </w:tr>
      <w:tr w:rsidR="00007383" w14:paraId="0A0EDE23" w14:textId="77777777" w:rsidTr="00EC1E5D">
        <w:tc>
          <w:tcPr>
            <w:tcW w:w="1809" w:type="dxa"/>
          </w:tcPr>
          <w:p w14:paraId="344CF762" w14:textId="77777777" w:rsidR="00007383" w:rsidRDefault="00D37F24">
            <w:pPr>
              <w:spacing w:after="40"/>
            </w:pPr>
            <w:r>
              <w:rPr>
                <w:sz w:val="22"/>
              </w:rPr>
              <w:t>Socio-economic</w:t>
            </w:r>
          </w:p>
        </w:tc>
        <w:tc>
          <w:tcPr>
            <w:tcW w:w="4013" w:type="dxa"/>
          </w:tcPr>
          <w:p w14:paraId="07BB4CFC" w14:textId="77777777" w:rsidR="00007383" w:rsidRDefault="00D37F24">
            <w:pPr>
              <w:spacing w:after="40"/>
            </w:pPr>
            <w:r>
              <w:rPr>
                <w:sz w:val="22"/>
              </w:rPr>
              <w:t>Displacement fear; tenure insecurity; collective-action challenges; skewed public investment</w:t>
            </w:r>
          </w:p>
        </w:tc>
        <w:tc>
          <w:tcPr>
            <w:tcW w:w="3642" w:type="dxa"/>
          </w:tcPr>
          <w:p w14:paraId="378525FB" w14:textId="77777777" w:rsidR="00007383" w:rsidRDefault="00D37F24">
            <w:pPr>
              <w:spacing w:after="40"/>
            </w:pPr>
            <w:r>
              <w:rPr>
                <w:sz w:val="22"/>
              </w:rPr>
              <w:t>Household survey; FGDs; KII</w:t>
            </w:r>
          </w:p>
        </w:tc>
      </w:tr>
    </w:tbl>
    <w:p w14:paraId="776C90EB" w14:textId="0D8E5605" w:rsidR="00007383" w:rsidRDefault="00D37F24">
      <w:pPr>
        <w:spacing w:before="200"/>
        <w:jc w:val="left"/>
      </w:pPr>
      <w:r>
        <w:rPr>
          <w:b/>
        </w:rPr>
        <w:t xml:space="preserve">4.4 </w:t>
      </w:r>
      <w:r w:rsidR="00E075F3">
        <w:rPr>
          <w:b/>
          <w:lang/>
        </w:rPr>
        <w:tab/>
      </w:r>
      <w:r>
        <w:rPr>
          <w:b/>
        </w:rPr>
        <w:t>Community Preferences and the PIGI Model</w:t>
      </w:r>
    </w:p>
    <w:p w14:paraId="1B008E05" w14:textId="77777777" w:rsidR="00007383" w:rsidRDefault="00D37F24">
      <w:r>
        <w:t>Across all six focus groups and the key informant interviews, respondents expressed strong support for a Participatory Incremental Green Infrastructure (PIGI) approach. Participation was viewed as essential to incorporating indigenous knowledge, prioritizing problems, and securing collective maintenance of green spaces and drainage; local associations, women’s and youth groups, and traditional leaders were identified as mobilizing actors. The incremental logic—phased, low-cost measures rather than capital-intensive projects—was considered the only realistic pathway given constrained public finance. Preferred interventions included roadside tree planting, pocket parks, rain gardens, vegetated swales, community waste-recycling points, rooftop gardening, and rehabilitation of degraded open spaces. Beyond environmental benefits, respondents associated these measures with employment, public-health improvement, recreation, and stronger community cooperation, indicating that GI was valued as a tool of social inclusion and resilience, not merely environmental engineering. Table 4 outlines how the model translates into a phased pilot portfolio.</w:t>
      </w:r>
    </w:p>
    <w:p w14:paraId="7F551906" w14:textId="77777777" w:rsidR="00007383" w:rsidRDefault="00D37F24">
      <w:pPr>
        <w:spacing w:before="160" w:after="60"/>
        <w:jc w:val="left"/>
      </w:pPr>
      <w:r>
        <w:rPr>
          <w:b/>
          <w:sz w:val="22"/>
        </w:rPr>
        <w:t>Table 4. Illustrative PIGI pilot portfolio for Kaduna’s unguwa areas</w:t>
      </w:r>
    </w:p>
    <w:tbl>
      <w:tblPr>
        <w:tblStyle w:val="TableGrid"/>
        <w:tblW w:w="0" w:type="auto"/>
        <w:tblLook w:val="04A0" w:firstRow="1" w:lastRow="0" w:firstColumn="1" w:lastColumn="0" w:noHBand="0" w:noVBand="1"/>
      </w:tblPr>
      <w:tblGrid>
        <w:gridCol w:w="2093"/>
        <w:gridCol w:w="2126"/>
        <w:gridCol w:w="1701"/>
        <w:gridCol w:w="2268"/>
        <w:gridCol w:w="1276"/>
      </w:tblGrid>
      <w:tr w:rsidR="00007383" w14:paraId="333D3B1A" w14:textId="77777777" w:rsidTr="00EC1E5D">
        <w:tc>
          <w:tcPr>
            <w:tcW w:w="2093" w:type="dxa"/>
          </w:tcPr>
          <w:p w14:paraId="7EADF8C2" w14:textId="77777777" w:rsidR="00007383" w:rsidRDefault="00D37F24">
            <w:pPr>
              <w:spacing w:after="40"/>
            </w:pPr>
            <w:r>
              <w:rPr>
                <w:b/>
                <w:sz w:val="22"/>
              </w:rPr>
              <w:t>Intervention</w:t>
            </w:r>
          </w:p>
        </w:tc>
        <w:tc>
          <w:tcPr>
            <w:tcW w:w="2126" w:type="dxa"/>
          </w:tcPr>
          <w:p w14:paraId="732D14CC" w14:textId="77777777" w:rsidR="00007383" w:rsidRDefault="00D37F24">
            <w:pPr>
              <w:spacing w:after="40"/>
            </w:pPr>
            <w:r>
              <w:rPr>
                <w:b/>
                <w:sz w:val="22"/>
              </w:rPr>
              <w:t>Primary function</w:t>
            </w:r>
          </w:p>
        </w:tc>
        <w:tc>
          <w:tcPr>
            <w:tcW w:w="1701" w:type="dxa"/>
          </w:tcPr>
          <w:p w14:paraId="2383CCB9" w14:textId="77777777" w:rsidR="00007383" w:rsidRDefault="00D37F24">
            <w:pPr>
              <w:spacing w:after="40"/>
            </w:pPr>
            <w:r>
              <w:rPr>
                <w:b/>
                <w:sz w:val="22"/>
              </w:rPr>
              <w:t>Scale</w:t>
            </w:r>
          </w:p>
        </w:tc>
        <w:tc>
          <w:tcPr>
            <w:tcW w:w="2268" w:type="dxa"/>
          </w:tcPr>
          <w:p w14:paraId="12519D5E" w14:textId="77777777" w:rsidR="00007383" w:rsidRDefault="00D37F24">
            <w:pPr>
              <w:spacing w:after="40"/>
            </w:pPr>
            <w:r>
              <w:rPr>
                <w:b/>
                <w:sz w:val="22"/>
              </w:rPr>
              <w:t>Lead/coordinating actor</w:t>
            </w:r>
          </w:p>
        </w:tc>
        <w:tc>
          <w:tcPr>
            <w:tcW w:w="1276" w:type="dxa"/>
          </w:tcPr>
          <w:p w14:paraId="600ECF8D" w14:textId="77777777" w:rsidR="00007383" w:rsidRDefault="00D37F24">
            <w:pPr>
              <w:spacing w:after="40"/>
            </w:pPr>
            <w:r>
              <w:rPr>
                <w:b/>
                <w:sz w:val="22"/>
              </w:rPr>
              <w:t>Phase</w:t>
            </w:r>
          </w:p>
        </w:tc>
      </w:tr>
      <w:tr w:rsidR="00007383" w14:paraId="38A422AF" w14:textId="77777777" w:rsidTr="00EC1E5D">
        <w:tc>
          <w:tcPr>
            <w:tcW w:w="2093" w:type="dxa"/>
          </w:tcPr>
          <w:p w14:paraId="4F1116FB" w14:textId="77777777" w:rsidR="00007383" w:rsidRDefault="00D37F24">
            <w:pPr>
              <w:spacing w:after="40"/>
            </w:pPr>
            <w:r>
              <w:rPr>
                <w:sz w:val="22"/>
              </w:rPr>
              <w:t>Roadside tree planting</w:t>
            </w:r>
          </w:p>
        </w:tc>
        <w:tc>
          <w:tcPr>
            <w:tcW w:w="2126" w:type="dxa"/>
          </w:tcPr>
          <w:p w14:paraId="5DAB8069" w14:textId="77777777" w:rsidR="00007383" w:rsidRDefault="00D37F24">
            <w:pPr>
              <w:spacing w:after="40"/>
            </w:pPr>
            <w:r>
              <w:rPr>
                <w:sz w:val="22"/>
              </w:rPr>
              <w:t>Cooling; dust reduction</w:t>
            </w:r>
          </w:p>
        </w:tc>
        <w:tc>
          <w:tcPr>
            <w:tcW w:w="1701" w:type="dxa"/>
          </w:tcPr>
          <w:p w14:paraId="176A2532" w14:textId="77777777" w:rsidR="00007383" w:rsidRDefault="00D37F24">
            <w:pPr>
              <w:spacing w:after="40"/>
            </w:pPr>
            <w:r>
              <w:rPr>
                <w:sz w:val="22"/>
              </w:rPr>
              <w:t>Micro, linear</w:t>
            </w:r>
          </w:p>
        </w:tc>
        <w:tc>
          <w:tcPr>
            <w:tcW w:w="2268" w:type="dxa"/>
          </w:tcPr>
          <w:p w14:paraId="5E21BBF7" w14:textId="77777777" w:rsidR="00007383" w:rsidRDefault="00D37F24">
            <w:pPr>
              <w:spacing w:after="40"/>
            </w:pPr>
            <w:r>
              <w:rPr>
                <w:sz w:val="22"/>
              </w:rPr>
              <w:t>Community association + LGA</w:t>
            </w:r>
          </w:p>
        </w:tc>
        <w:tc>
          <w:tcPr>
            <w:tcW w:w="1276" w:type="dxa"/>
          </w:tcPr>
          <w:p w14:paraId="4F34D38A" w14:textId="77777777" w:rsidR="00007383" w:rsidRDefault="00D37F24">
            <w:pPr>
              <w:spacing w:after="40"/>
            </w:pPr>
            <w:r>
              <w:rPr>
                <w:sz w:val="22"/>
              </w:rPr>
              <w:t>1</w:t>
            </w:r>
          </w:p>
        </w:tc>
      </w:tr>
      <w:tr w:rsidR="00007383" w14:paraId="141AB51B" w14:textId="77777777" w:rsidTr="00EC1E5D">
        <w:tc>
          <w:tcPr>
            <w:tcW w:w="2093" w:type="dxa"/>
          </w:tcPr>
          <w:p w14:paraId="0BD36D58" w14:textId="77777777" w:rsidR="00007383" w:rsidRDefault="00D37F24">
            <w:pPr>
              <w:spacing w:after="40"/>
            </w:pPr>
            <w:r>
              <w:rPr>
                <w:sz w:val="22"/>
              </w:rPr>
              <w:t>Rain gardens and vegetated swales</w:t>
            </w:r>
          </w:p>
        </w:tc>
        <w:tc>
          <w:tcPr>
            <w:tcW w:w="2126" w:type="dxa"/>
          </w:tcPr>
          <w:p w14:paraId="49166D4F" w14:textId="77777777" w:rsidR="00007383" w:rsidRDefault="00D37F24">
            <w:pPr>
              <w:spacing w:after="40"/>
            </w:pPr>
            <w:r>
              <w:rPr>
                <w:sz w:val="22"/>
              </w:rPr>
              <w:t>Stormwater management</w:t>
            </w:r>
          </w:p>
        </w:tc>
        <w:tc>
          <w:tcPr>
            <w:tcW w:w="1701" w:type="dxa"/>
          </w:tcPr>
          <w:p w14:paraId="7C6C4D35" w14:textId="77777777" w:rsidR="00007383" w:rsidRDefault="00D37F24">
            <w:pPr>
              <w:spacing w:after="40"/>
            </w:pPr>
            <w:r>
              <w:rPr>
                <w:sz w:val="22"/>
              </w:rPr>
              <w:t>Micro, distributed</w:t>
            </w:r>
          </w:p>
        </w:tc>
        <w:tc>
          <w:tcPr>
            <w:tcW w:w="2268" w:type="dxa"/>
          </w:tcPr>
          <w:p w14:paraId="61DADE77" w14:textId="77777777" w:rsidR="00007383" w:rsidRDefault="00D37F24">
            <w:pPr>
              <w:spacing w:after="40"/>
            </w:pPr>
            <w:r>
              <w:rPr>
                <w:sz w:val="22"/>
              </w:rPr>
              <w:t>KASUPDA + community</w:t>
            </w:r>
          </w:p>
        </w:tc>
        <w:tc>
          <w:tcPr>
            <w:tcW w:w="1276" w:type="dxa"/>
          </w:tcPr>
          <w:p w14:paraId="249570F2" w14:textId="77777777" w:rsidR="00007383" w:rsidRDefault="00D37F24">
            <w:pPr>
              <w:spacing w:after="40"/>
            </w:pPr>
            <w:r>
              <w:rPr>
                <w:sz w:val="22"/>
              </w:rPr>
              <w:t>1–2</w:t>
            </w:r>
          </w:p>
        </w:tc>
      </w:tr>
      <w:tr w:rsidR="00007383" w14:paraId="5B7E672B" w14:textId="77777777" w:rsidTr="00EC1E5D">
        <w:tc>
          <w:tcPr>
            <w:tcW w:w="2093" w:type="dxa"/>
          </w:tcPr>
          <w:p w14:paraId="5FA28155" w14:textId="77777777" w:rsidR="00007383" w:rsidRDefault="00D37F24">
            <w:pPr>
              <w:spacing w:after="40"/>
            </w:pPr>
            <w:r>
              <w:rPr>
                <w:sz w:val="22"/>
              </w:rPr>
              <w:t xml:space="preserve">Pocket parks on communal/sacred </w:t>
            </w:r>
            <w:r>
              <w:rPr>
                <w:sz w:val="22"/>
              </w:rPr>
              <w:lastRenderedPageBreak/>
              <w:t>land</w:t>
            </w:r>
          </w:p>
        </w:tc>
        <w:tc>
          <w:tcPr>
            <w:tcW w:w="2126" w:type="dxa"/>
          </w:tcPr>
          <w:p w14:paraId="78488061" w14:textId="77777777" w:rsidR="00007383" w:rsidRDefault="00D37F24">
            <w:pPr>
              <w:spacing w:after="40"/>
            </w:pPr>
            <w:r>
              <w:rPr>
                <w:sz w:val="22"/>
              </w:rPr>
              <w:lastRenderedPageBreak/>
              <w:t>Recreation; social cohesion</w:t>
            </w:r>
          </w:p>
        </w:tc>
        <w:tc>
          <w:tcPr>
            <w:tcW w:w="1701" w:type="dxa"/>
          </w:tcPr>
          <w:p w14:paraId="1071F5AA" w14:textId="77777777" w:rsidR="00007383" w:rsidRDefault="00D37F24">
            <w:pPr>
              <w:spacing w:after="40"/>
            </w:pPr>
            <w:r>
              <w:rPr>
                <w:sz w:val="22"/>
              </w:rPr>
              <w:t>Small, nodal</w:t>
            </w:r>
          </w:p>
        </w:tc>
        <w:tc>
          <w:tcPr>
            <w:tcW w:w="2268" w:type="dxa"/>
          </w:tcPr>
          <w:p w14:paraId="7EEA27F0" w14:textId="77777777" w:rsidR="00007383" w:rsidRDefault="00D37F24">
            <w:pPr>
              <w:spacing w:after="40"/>
            </w:pPr>
            <w:r>
              <w:rPr>
                <w:sz w:val="22"/>
              </w:rPr>
              <w:t>Traditional institution + community trust</w:t>
            </w:r>
          </w:p>
        </w:tc>
        <w:tc>
          <w:tcPr>
            <w:tcW w:w="1276" w:type="dxa"/>
          </w:tcPr>
          <w:p w14:paraId="780B1054" w14:textId="77777777" w:rsidR="00007383" w:rsidRDefault="00D37F24">
            <w:pPr>
              <w:spacing w:after="40"/>
            </w:pPr>
            <w:r>
              <w:rPr>
                <w:sz w:val="22"/>
              </w:rPr>
              <w:t>2</w:t>
            </w:r>
          </w:p>
        </w:tc>
      </w:tr>
      <w:tr w:rsidR="00007383" w14:paraId="771B540B" w14:textId="77777777" w:rsidTr="00EC1E5D">
        <w:tc>
          <w:tcPr>
            <w:tcW w:w="2093" w:type="dxa"/>
          </w:tcPr>
          <w:p w14:paraId="1B48B1D1" w14:textId="77777777" w:rsidR="00007383" w:rsidRDefault="00D37F24">
            <w:pPr>
              <w:spacing w:after="40"/>
            </w:pPr>
            <w:r>
              <w:rPr>
                <w:sz w:val="22"/>
              </w:rPr>
              <w:t>Rooftop and compound gardening</w:t>
            </w:r>
          </w:p>
        </w:tc>
        <w:tc>
          <w:tcPr>
            <w:tcW w:w="2126" w:type="dxa"/>
          </w:tcPr>
          <w:p w14:paraId="4EDA668F" w14:textId="77777777" w:rsidR="00007383" w:rsidRDefault="00D37F24">
            <w:pPr>
              <w:spacing w:after="40"/>
            </w:pPr>
            <w:r>
              <w:rPr>
                <w:sz w:val="22"/>
              </w:rPr>
              <w:t>Food security; cooling</w:t>
            </w:r>
          </w:p>
        </w:tc>
        <w:tc>
          <w:tcPr>
            <w:tcW w:w="1701" w:type="dxa"/>
          </w:tcPr>
          <w:p w14:paraId="2B9D484D" w14:textId="77777777" w:rsidR="00007383" w:rsidRDefault="00D37F24">
            <w:pPr>
              <w:spacing w:after="40"/>
            </w:pPr>
            <w:r>
              <w:rPr>
                <w:sz w:val="22"/>
              </w:rPr>
              <w:t>Household</w:t>
            </w:r>
          </w:p>
        </w:tc>
        <w:tc>
          <w:tcPr>
            <w:tcW w:w="2268" w:type="dxa"/>
          </w:tcPr>
          <w:p w14:paraId="4BEB8F55" w14:textId="77777777" w:rsidR="00007383" w:rsidRDefault="00D37F24">
            <w:pPr>
              <w:spacing w:after="40"/>
            </w:pPr>
            <w:r>
              <w:rPr>
                <w:sz w:val="22"/>
              </w:rPr>
              <w:t>Households + women’s/youth groups</w:t>
            </w:r>
          </w:p>
        </w:tc>
        <w:tc>
          <w:tcPr>
            <w:tcW w:w="1276" w:type="dxa"/>
          </w:tcPr>
          <w:p w14:paraId="26E69628" w14:textId="77777777" w:rsidR="00007383" w:rsidRDefault="00D37F24">
            <w:pPr>
              <w:spacing w:after="40"/>
            </w:pPr>
            <w:r>
              <w:rPr>
                <w:sz w:val="22"/>
              </w:rPr>
              <w:t>1–3</w:t>
            </w:r>
          </w:p>
        </w:tc>
      </w:tr>
      <w:tr w:rsidR="00007383" w14:paraId="27B6F433" w14:textId="77777777" w:rsidTr="00EC1E5D">
        <w:tc>
          <w:tcPr>
            <w:tcW w:w="2093" w:type="dxa"/>
          </w:tcPr>
          <w:p w14:paraId="6E743031" w14:textId="77777777" w:rsidR="00007383" w:rsidRDefault="00D37F24">
            <w:pPr>
              <w:spacing w:after="40"/>
            </w:pPr>
            <w:r>
              <w:rPr>
                <w:sz w:val="22"/>
              </w:rPr>
              <w:t>Floodplain agriculture protection</w:t>
            </w:r>
          </w:p>
        </w:tc>
        <w:tc>
          <w:tcPr>
            <w:tcW w:w="2126" w:type="dxa"/>
          </w:tcPr>
          <w:p w14:paraId="7A69ADED" w14:textId="77777777" w:rsidR="00007383" w:rsidRDefault="00D37F24">
            <w:pPr>
              <w:spacing w:after="40"/>
            </w:pPr>
            <w:r>
              <w:rPr>
                <w:sz w:val="22"/>
              </w:rPr>
              <w:t>Flood attenuation; livelihoods</w:t>
            </w:r>
          </w:p>
        </w:tc>
        <w:tc>
          <w:tcPr>
            <w:tcW w:w="1701" w:type="dxa"/>
          </w:tcPr>
          <w:p w14:paraId="43424D1E" w14:textId="77777777" w:rsidR="00007383" w:rsidRDefault="00D37F24">
            <w:pPr>
              <w:spacing w:after="40"/>
            </w:pPr>
            <w:r>
              <w:rPr>
                <w:sz w:val="22"/>
              </w:rPr>
              <w:t>Corridor</w:t>
            </w:r>
          </w:p>
        </w:tc>
        <w:tc>
          <w:tcPr>
            <w:tcW w:w="2268" w:type="dxa"/>
          </w:tcPr>
          <w:p w14:paraId="619540A7" w14:textId="77777777" w:rsidR="00007383" w:rsidRDefault="00D37F24">
            <w:pPr>
              <w:spacing w:after="40"/>
            </w:pPr>
            <w:r>
              <w:rPr>
                <w:sz w:val="22"/>
              </w:rPr>
              <w:t>LGA + co-management committee</w:t>
            </w:r>
          </w:p>
        </w:tc>
        <w:tc>
          <w:tcPr>
            <w:tcW w:w="1276" w:type="dxa"/>
          </w:tcPr>
          <w:p w14:paraId="35DE2ED2" w14:textId="77777777" w:rsidR="00007383" w:rsidRDefault="00D37F24">
            <w:pPr>
              <w:spacing w:after="40"/>
            </w:pPr>
            <w:r>
              <w:rPr>
                <w:sz w:val="22"/>
              </w:rPr>
              <w:t>2–3</w:t>
            </w:r>
          </w:p>
        </w:tc>
      </w:tr>
      <w:tr w:rsidR="00007383" w14:paraId="64E5DA54" w14:textId="77777777" w:rsidTr="00EC1E5D">
        <w:tc>
          <w:tcPr>
            <w:tcW w:w="2093" w:type="dxa"/>
          </w:tcPr>
          <w:p w14:paraId="30C30E10" w14:textId="77777777" w:rsidR="00007383" w:rsidRDefault="00D37F24">
            <w:pPr>
              <w:spacing w:after="40"/>
            </w:pPr>
            <w:r>
              <w:rPr>
                <w:sz w:val="22"/>
              </w:rPr>
              <w:t>Community land trust for green land</w:t>
            </w:r>
          </w:p>
        </w:tc>
        <w:tc>
          <w:tcPr>
            <w:tcW w:w="2126" w:type="dxa"/>
          </w:tcPr>
          <w:p w14:paraId="45FF44DE" w14:textId="77777777" w:rsidR="00007383" w:rsidRDefault="00D37F24">
            <w:pPr>
              <w:spacing w:after="40"/>
            </w:pPr>
            <w:r>
              <w:rPr>
                <w:sz w:val="22"/>
              </w:rPr>
              <w:t>Tenure security; anti-displacement</w:t>
            </w:r>
          </w:p>
        </w:tc>
        <w:tc>
          <w:tcPr>
            <w:tcW w:w="1701" w:type="dxa"/>
          </w:tcPr>
          <w:p w14:paraId="6D01D64E" w14:textId="77777777" w:rsidR="00007383" w:rsidRDefault="00D37F24">
            <w:pPr>
              <w:spacing w:after="40"/>
            </w:pPr>
            <w:r>
              <w:rPr>
                <w:sz w:val="22"/>
              </w:rPr>
              <w:t>Settlement</w:t>
            </w:r>
          </w:p>
        </w:tc>
        <w:tc>
          <w:tcPr>
            <w:tcW w:w="2268" w:type="dxa"/>
          </w:tcPr>
          <w:p w14:paraId="7A87707C" w14:textId="77777777" w:rsidR="00007383" w:rsidRDefault="00D37F24">
            <w:pPr>
              <w:spacing w:after="40"/>
            </w:pPr>
            <w:r>
              <w:rPr>
                <w:sz w:val="22"/>
              </w:rPr>
              <w:t>State + community + NGO</w:t>
            </w:r>
          </w:p>
        </w:tc>
        <w:tc>
          <w:tcPr>
            <w:tcW w:w="1276" w:type="dxa"/>
          </w:tcPr>
          <w:p w14:paraId="38F33285" w14:textId="77777777" w:rsidR="00007383" w:rsidRDefault="00D37F24">
            <w:pPr>
              <w:spacing w:after="40"/>
            </w:pPr>
            <w:r>
              <w:rPr>
                <w:sz w:val="22"/>
              </w:rPr>
              <w:t>2–3</w:t>
            </w:r>
          </w:p>
        </w:tc>
      </w:tr>
    </w:tbl>
    <w:p w14:paraId="60F5A354" w14:textId="2820CE12" w:rsidR="00007383" w:rsidRDefault="00D37F24">
      <w:pPr>
        <w:spacing w:before="200"/>
        <w:jc w:val="left"/>
      </w:pPr>
      <w:r>
        <w:rPr>
          <w:b/>
        </w:rPr>
        <w:t xml:space="preserve">5. </w:t>
      </w:r>
      <w:r w:rsidR="00E075F3">
        <w:rPr>
          <w:b/>
          <w:lang/>
        </w:rPr>
        <w:tab/>
      </w:r>
      <w:r>
        <w:rPr>
          <w:b/>
        </w:rPr>
        <w:t>DISCUSSION</w:t>
      </w:r>
    </w:p>
    <w:p w14:paraId="4A87AD0D" w14:textId="77777777" w:rsidR="00007383" w:rsidRDefault="00D37F24">
      <w:r>
        <w:t>The findings confirm that Kaduna’s unguwa areas, far from being ecological voids, operate as functioning GI landscapes sustained by everyday practice—consistent with evidence from Nairobi, Accra, and Dar es Salaam that informal settlements harbor latent ecological systems (Mutisya &amp; Yarime, 2011; Mensah, 2014; Sakijege et al., 2012). The NDVI gradient across the settlements demonstrates that settlement age, land-use history, and planning history shape green endowments more than income alone; Kakuri’s industrial legacy inadvertently preserved vegetation that formal planning failed to provide. This finding extends the “accidental green space” concept (Cilliers et al., 2013) by showing that even such spaces underperform when maintenance, safety, and tenure are unaddressed—affirming Wolch et al.’s (2014) “just green enough” argument that distribution, usability, and protection matter as much as quantity.</w:t>
      </w:r>
    </w:p>
    <w:p w14:paraId="520695E7" w14:textId="77777777" w:rsidR="00007383" w:rsidRDefault="00D37F24">
      <w:r>
        <w:t>The barrier structure mirrors patterns documented elsewhere in the Global South: institutional exclusion and fragmentation (Watson, 2014), technical and maintenance deficits (Prescott et al., 2021), and socio-economic constraints dominated by poverty and competing priorities (Agyeman et al., 2016). Two features are distinctive to the Kaduna context. First, displacement fear—rooted in lived and observed demolition experiences—operates as a first-order barrier that can override environmental preference, echoing green-gentrification warnings (Checker, 2011; Anguelovski et al., 2019). Second, the mediating role of traditional institutions (maigida) alongside state agencies offers a governance asset that purely state-centered analyses overlook; co-production platforms that formally include these actors could convert fragmentation into polycentric coordination (Ostrom, 1996).</w:t>
      </w:r>
    </w:p>
    <w:p w14:paraId="61B19203" w14:textId="77777777" w:rsidR="00007383" w:rsidRDefault="00D37F24">
      <w:r>
        <w:t>The endorsement of PIGI aligns with the international record of participatory upgrading (Boonyabancha, 2005; Roberts et al., 2012), but two cautions from that literature temper optimism. Incrementalism can entrench informality where it substitutes for structural tenure reform, and community participation can mask elite capture where associations are unrepresentative—particularly of women, tenants, and newer migrants (Watson, 2014). PIGI therefore embeds tenure instruments (community land use certificates, cooperative ownership, community land trusts) and anti-displacement safeguards as core components rather than optional add-ons. The model’s transferability to other Nigerian cities depends on replicating two conditions present in Kaduna: identifiable traditional authority structures and active community development associations.</w:t>
      </w:r>
    </w:p>
    <w:p w14:paraId="743B67C9" w14:textId="559DF730" w:rsidR="00007383" w:rsidRDefault="00D37F24">
      <w:pPr>
        <w:spacing w:before="200"/>
        <w:jc w:val="left"/>
      </w:pPr>
      <w:r>
        <w:rPr>
          <w:b/>
        </w:rPr>
        <w:t xml:space="preserve">6. </w:t>
      </w:r>
      <w:r w:rsidR="00E075F3">
        <w:rPr>
          <w:b/>
          <w:lang/>
        </w:rPr>
        <w:tab/>
      </w:r>
      <w:r>
        <w:rPr>
          <w:b/>
        </w:rPr>
        <w:t>RECOMMENDATIONS</w:t>
      </w:r>
    </w:p>
    <w:p w14:paraId="26097D09" w14:textId="095696CC" w:rsidR="00007383" w:rsidRDefault="00D37F24" w:rsidP="00E075F3">
      <w:r>
        <w:rPr>
          <w:b/>
        </w:rPr>
        <w:t xml:space="preserve">6.1 </w:t>
      </w:r>
      <w:r w:rsidR="00EC1E5D">
        <w:rPr>
          <w:b/>
          <w:lang/>
        </w:rPr>
        <w:tab/>
      </w:r>
      <w:r>
        <w:rPr>
          <w:b/>
        </w:rPr>
        <w:t xml:space="preserve">Asset-based planning. </w:t>
      </w:r>
      <w:r>
        <w:t>Planning should begin from participatory mapping and recognition of existing green assets rather than deficit framings, validating local knowledge and establishing a practical foundation for incremental upgrading.</w:t>
      </w:r>
    </w:p>
    <w:p w14:paraId="550E9537" w14:textId="59E3D33E" w:rsidR="00007383" w:rsidRDefault="00D37F24" w:rsidP="00E075F3">
      <w:r>
        <w:rPr>
          <w:b/>
        </w:rPr>
        <w:lastRenderedPageBreak/>
        <w:t xml:space="preserve">6.2 </w:t>
      </w:r>
      <w:r w:rsidR="00EC1E5D">
        <w:rPr>
          <w:b/>
          <w:lang/>
        </w:rPr>
        <w:tab/>
      </w:r>
      <w:r>
        <w:rPr>
          <w:b/>
        </w:rPr>
        <w:t xml:space="preserve">Institutional coordination. </w:t>
      </w:r>
      <w:r>
        <w:t>A formal co-production platform should link KASUPDA, local government authorities, and traditional institutions, with delineated roles, joint frameworks, and shared accountability for GI in unguwa areas.</w:t>
      </w:r>
    </w:p>
    <w:p w14:paraId="2B7F3BBE" w14:textId="142BE823" w:rsidR="00007383" w:rsidRDefault="00D37F24" w:rsidP="00E075F3">
      <w:r>
        <w:rPr>
          <w:b/>
        </w:rPr>
        <w:t xml:space="preserve">6.3 </w:t>
      </w:r>
      <w:r w:rsidR="00EC1E5D">
        <w:rPr>
          <w:b/>
          <w:lang/>
        </w:rPr>
        <w:tab/>
      </w:r>
      <w:r>
        <w:rPr>
          <w:b/>
        </w:rPr>
        <w:t xml:space="preserve">Tenure security for green land. </w:t>
      </w:r>
      <w:r>
        <w:t>Community land use certificates, cooperative ownership arrangements, and community land trusts should be introduced for land designated for GI, reducing displacement risk and incentivizing household investment.</w:t>
      </w:r>
    </w:p>
    <w:p w14:paraId="4B23BCEB" w14:textId="73754ECB" w:rsidR="00007383" w:rsidRDefault="00D37F24" w:rsidP="00E075F3">
      <w:r>
        <w:rPr>
          <w:b/>
        </w:rPr>
        <w:t xml:space="preserve">6.4 </w:t>
      </w:r>
      <w:r w:rsidR="00EC1E5D">
        <w:rPr>
          <w:b/>
          <w:lang/>
        </w:rPr>
        <w:tab/>
      </w:r>
      <w:r>
        <w:rPr>
          <w:b/>
        </w:rPr>
        <w:t xml:space="preserve">Mainstreaming GI in upgrading programs. </w:t>
      </w:r>
      <w:r>
        <w:t>The Kaduna Urban Renewal Program and related initiatives should mandate GI components—tree planting, green corridors, and nature-based drainage—with participatory budgeting and transparent monitoring, incorporating community co-financing in labor.</w:t>
      </w:r>
    </w:p>
    <w:p w14:paraId="3513557E" w14:textId="765CB7E8" w:rsidR="00007383" w:rsidRDefault="00D37F24" w:rsidP="00E075F3">
      <w:r>
        <w:rPr>
          <w:b/>
        </w:rPr>
        <w:t xml:space="preserve">6.5 </w:t>
      </w:r>
      <w:r w:rsidR="00EC1E5D">
        <w:rPr>
          <w:b/>
          <w:lang/>
        </w:rPr>
        <w:tab/>
      </w:r>
      <w:r>
        <w:rPr>
          <w:b/>
        </w:rPr>
        <w:t xml:space="preserve">Capacity building. </w:t>
      </w:r>
      <w:r>
        <w:t>Community development associations, women’s groups, and youth organizations require training in urban agriculture, tree management, environmental stewardship, and project oversight to sustain interventions.</w:t>
      </w:r>
    </w:p>
    <w:p w14:paraId="41C39F9C" w14:textId="5E082A5A" w:rsidR="00007383" w:rsidRDefault="00D37F24" w:rsidP="00E075F3">
      <w:r>
        <w:rPr>
          <w:b/>
        </w:rPr>
        <w:t xml:space="preserve">6.6 </w:t>
      </w:r>
      <w:r w:rsidR="00EC1E5D">
        <w:rPr>
          <w:b/>
          <w:lang/>
        </w:rPr>
        <w:tab/>
      </w:r>
      <w:r>
        <w:rPr>
          <w:b/>
        </w:rPr>
        <w:t xml:space="preserve">Knowledge exchange. </w:t>
      </w:r>
      <w:r>
        <w:t>Platforms for documenting and disseminating best practices—within Kaduna and across Nigerian cities—should institutionalize peer-to-peer learning of low-cost, community-driven green solutions.</w:t>
      </w:r>
    </w:p>
    <w:p w14:paraId="08CEFF8A" w14:textId="0C460383" w:rsidR="00007383" w:rsidRDefault="00D37F24">
      <w:pPr>
        <w:spacing w:before="200"/>
        <w:jc w:val="left"/>
      </w:pPr>
      <w:r w:rsidRPr="00EC1E5D">
        <w:rPr>
          <w:b/>
        </w:rPr>
        <w:t>7.</w:t>
      </w:r>
      <w:r>
        <w:rPr>
          <w:b/>
        </w:rPr>
        <w:t xml:space="preserve"> </w:t>
      </w:r>
      <w:r w:rsidR="00E075F3">
        <w:rPr>
          <w:b/>
          <w:lang/>
        </w:rPr>
        <w:tab/>
      </w:r>
      <w:r>
        <w:rPr>
          <w:b/>
        </w:rPr>
        <w:t>LIMITATIONS AND FUTURE RESEARCH</w:t>
      </w:r>
    </w:p>
    <w:p w14:paraId="082DF8C6" w14:textId="77777777" w:rsidR="00007383" w:rsidRDefault="00D37F24">
      <w:r>
        <w:t>The study has limitations. The cross-sectional design captures conditions at a single point in time and cannot track intervention outcomes; longitudinal assessment of PIGI pilots is a priority. NDVI derived from high-resolution imagery understates the quality and usability of vegetation, which were addressed qualitatively but would benefit from systematic field audit instruments. Survey results were analyzed descriptively; multivariate analysis of willingness-to-participate and perceived tenure security across settlements would strengthen inference. Finally, findings from three settlements in one city limit generalization; comparative application of the PIGI framework across Nigerian cities would test its portability.</w:t>
      </w:r>
    </w:p>
    <w:p w14:paraId="66AD7AC6" w14:textId="75018025" w:rsidR="00007383" w:rsidRDefault="00D37F24">
      <w:pPr>
        <w:spacing w:before="200"/>
        <w:jc w:val="left"/>
      </w:pPr>
      <w:r>
        <w:rPr>
          <w:b/>
        </w:rPr>
        <w:t xml:space="preserve">8. </w:t>
      </w:r>
      <w:r w:rsidR="00E075F3">
        <w:rPr>
          <w:b/>
          <w:lang/>
        </w:rPr>
        <w:tab/>
      </w:r>
      <w:r>
        <w:rPr>
          <w:b/>
        </w:rPr>
        <w:t>CONCLUSION</w:t>
      </w:r>
    </w:p>
    <w:p w14:paraId="284BFCA3" w14:textId="77777777" w:rsidR="00007383" w:rsidRDefault="00D37F24">
      <w:r>
        <w:t>This study demonstrates that Kaduna’s unguwa areas contain substantial, multifunctional green assets—compound trees, roadside ecosystems, floodplain agriculture, and sacred communal greens—that already deliver cooling, flood attenuation, food security, and social cohesion. Their integration into planned GI is blocked less by ecological absence than by institutional exclusion, high-density constraints, tenure insecurity, and well-founded fear of displacement. The Participatory Incremental Green Infrastructure model responds to these conditions with asset-based planning, micro-scale and distributed interventions, tenure instruments, co-production among state, traditional, and community actors, and explicit anti-displacement safeguards. Effective greening of informal settlements therefore depends on enhancing and connecting what residents already maintain, rather than imposing the formal-area park model. The study adds secondary-city Nigerian evidence to Global South GI scholarship and offers planners a feasible, equity-oriented pathway for aligning environmental sustainability with social justice in rapidly urbanizing cities.</w:t>
      </w:r>
    </w:p>
    <w:p w14:paraId="11232BF1" w14:textId="77777777" w:rsidR="00EC1E5D" w:rsidRDefault="00EC1E5D">
      <w:pPr>
        <w:spacing w:before="200"/>
        <w:jc w:val="left"/>
        <w:rPr>
          <w:b/>
          <w:lang/>
        </w:rPr>
      </w:pPr>
    </w:p>
    <w:p w14:paraId="3A3A1914" w14:textId="77777777" w:rsidR="00EC1E5D" w:rsidRDefault="00EC1E5D">
      <w:pPr>
        <w:spacing w:before="200"/>
        <w:jc w:val="left"/>
        <w:rPr>
          <w:b/>
          <w:lang/>
        </w:rPr>
      </w:pPr>
    </w:p>
    <w:p w14:paraId="0627B29D" w14:textId="0D5969BC" w:rsidR="00007383" w:rsidRDefault="00D37F24">
      <w:pPr>
        <w:spacing w:before="200"/>
        <w:jc w:val="left"/>
      </w:pPr>
      <w:r>
        <w:rPr>
          <w:b/>
        </w:rPr>
        <w:lastRenderedPageBreak/>
        <w:t>REFERENCES</w:t>
      </w:r>
    </w:p>
    <w:p w14:paraId="3BFBE9C2" w14:textId="77777777" w:rsidR="00007383" w:rsidRDefault="00D37F24">
      <w:pPr>
        <w:spacing w:after="40"/>
        <w:ind w:left="720" w:hanging="720"/>
      </w:pPr>
      <w:r>
        <w:t>Agyeman, J., Schlosberg, D., Craven, L., &amp; Matthews, C. (2016). Trends and directions in environmental justice: From inequity to everyday life, community, and just sustainabilities. Annual Review of Environment and Resources, 41, 321–340.</w:t>
      </w:r>
    </w:p>
    <w:p w14:paraId="4A437E35" w14:textId="77777777" w:rsidR="00007383" w:rsidRDefault="00D37F24">
      <w:pPr>
        <w:spacing w:after="40"/>
        <w:ind w:left="720" w:hanging="720"/>
      </w:pPr>
      <w:r>
        <w:t>Ajibade, I. (2017). Can a future city enhance urban resilience and sustainability? A political ecology analysis of Eko Atlantic City, Nigeria. International Journal of Disaster Risk Reduction, 26, 85–92.</w:t>
      </w:r>
    </w:p>
    <w:p w14:paraId="1A4DA314" w14:textId="77777777" w:rsidR="00007383" w:rsidRDefault="00D37F24">
      <w:pPr>
        <w:spacing w:after="40"/>
        <w:ind w:left="720" w:hanging="720"/>
      </w:pPr>
      <w:r>
        <w:t>Anguelovski, I., Connolly, J. J. T., Cole, H., Garcia-Lamarca, M., Triguero-Mas, M., Baró, F., Langemeyer, J., del Pulgar, C. P., Shokry, G., &amp; others. (2019). Why green “climate gentrification” threatens poor and vulnerable populations. Proceedings of the National Academy of Sciences, 116(52), 26139–26143.</w:t>
      </w:r>
    </w:p>
    <w:p w14:paraId="2F75F85B" w14:textId="77777777" w:rsidR="00007383" w:rsidRDefault="00D37F24">
      <w:pPr>
        <w:spacing w:after="40"/>
        <w:ind w:left="720" w:hanging="720"/>
      </w:pPr>
      <w:r>
        <w:t>Anguelovski, I., Connolly, J. J. T., Masip, L., &amp; Pearsall, H. (2018). Assessing green gentrification in historically marginalized neighborhoods: A longitudinal and spatial analysis of Barcelona. Urban Geography, 39(3), 458–491.</w:t>
      </w:r>
    </w:p>
    <w:p w14:paraId="5BC5767A" w14:textId="77777777" w:rsidR="00007383" w:rsidRDefault="00D37F24">
      <w:pPr>
        <w:spacing w:after="40"/>
        <w:ind w:left="720" w:hanging="720"/>
      </w:pPr>
      <w:r>
        <w:t>Boonyabancha, S. (2005). Baan Mankong: Going to scale with “slum” and squatter upgrading in Thailand. Environment and Urbanization, 17(1), 21–46.</w:t>
      </w:r>
    </w:p>
    <w:p w14:paraId="415F01BC" w14:textId="77777777" w:rsidR="00007383" w:rsidRDefault="00D37F24">
      <w:pPr>
        <w:spacing w:after="40"/>
        <w:ind w:left="720" w:hanging="720"/>
      </w:pPr>
      <w:r>
        <w:t>Brand, P., &amp; Dávila, J. D. (2011). Mobility innovation at the urban margins: Medellín’s metrocables. City, 15(6), 647–661.</w:t>
      </w:r>
    </w:p>
    <w:p w14:paraId="74D253D9" w14:textId="77777777" w:rsidR="00007383" w:rsidRDefault="00D37F24">
      <w:pPr>
        <w:spacing w:after="40"/>
        <w:ind w:left="720" w:hanging="720"/>
      </w:pPr>
      <w:r>
        <w:t>Checker, M. (2011). Wiped out by the “greenwave”: Environmental gentrification and the paradoxical politics of urban sustainability. City &amp; Society, 23(2), 210–229.</w:t>
      </w:r>
    </w:p>
    <w:p w14:paraId="43E7A1C5" w14:textId="77777777" w:rsidR="00007383" w:rsidRDefault="00D37F24">
      <w:pPr>
        <w:spacing w:after="40"/>
        <w:ind w:left="720" w:hanging="720"/>
      </w:pPr>
      <w:r>
        <w:t>Cilliers, S., Cilliers, J., Lubbe, R., &amp; Siebert, S. (2013). Ecosystem services of urban green spaces in African countries—Perspectives and challenges. Urban Ecosystems, 16(4), 681–702.</w:t>
      </w:r>
    </w:p>
    <w:p w14:paraId="2835D8A9" w14:textId="77777777" w:rsidR="00007383" w:rsidRDefault="00D37F24">
      <w:pPr>
        <w:spacing w:after="40"/>
        <w:ind w:left="720" w:hanging="720"/>
      </w:pPr>
      <w:r>
        <w:t>Creswell, J. W., &amp; Plano Clark, V. L. (2018). Designing and conducting mixed methods research (3rd ed.). SAGE Publications.</w:t>
      </w:r>
    </w:p>
    <w:p w14:paraId="34C599EC" w14:textId="77777777" w:rsidR="00007383" w:rsidRDefault="00D37F24">
      <w:pPr>
        <w:spacing w:after="40"/>
        <w:ind w:left="720" w:hanging="720"/>
      </w:pPr>
      <w:r>
        <w:t>Davis, M. (2006). Planet of slums. Verso.</w:t>
      </w:r>
    </w:p>
    <w:p w14:paraId="1BAEB400" w14:textId="77777777" w:rsidR="00007383" w:rsidRDefault="00D37F24">
      <w:pPr>
        <w:spacing w:after="40"/>
        <w:ind w:left="720" w:hanging="720"/>
      </w:pPr>
      <w:r>
        <w:t>Demuzere, M., Orru, K., Heidrich, O., Olazabal, E., Geneletti, D., Orru, H., Bhave, A. G., Mittal, N., Feliu, E., &amp; Faehnle, M. (2014). Mitigating and adapting to climate change: Multi-functional and multi-scale assessment of green urban infrastructure. Journal of Environmental Management, 146, 107–115.</w:t>
      </w:r>
    </w:p>
    <w:p w14:paraId="183C1F7F" w14:textId="77777777" w:rsidR="00007383" w:rsidRDefault="00D37F24">
      <w:pPr>
        <w:spacing w:after="40"/>
        <w:ind w:left="720" w:hanging="720"/>
      </w:pPr>
      <w:r>
        <w:t>Fanan, U., Dlama, K. I., &amp; Oluseyi, I. O. (2011). Urban expansion and vegetal cover loss in and around Nigeria’s Federal Capital City. Journal of Ecology and the Natural Environment, 3(1), 1–10.</w:t>
      </w:r>
    </w:p>
    <w:p w14:paraId="55910727" w14:textId="77777777" w:rsidR="00007383" w:rsidRDefault="00D37F24">
      <w:pPr>
        <w:spacing w:after="40"/>
        <w:ind w:left="720" w:hanging="720"/>
      </w:pPr>
      <w:r>
        <w:t>Fay, M., &amp; Opal, C. (2000). Urbanization without growth: A not-so-uncommon phenomenon (Policy Research Working Paper No. 2412). World Bank.</w:t>
      </w:r>
    </w:p>
    <w:p w14:paraId="37CC4FF7" w14:textId="77777777" w:rsidR="00007383" w:rsidRDefault="00D37F24">
      <w:pPr>
        <w:spacing w:after="40"/>
        <w:ind w:left="720" w:hanging="720"/>
      </w:pPr>
      <w:r>
        <w:t>Frantzeskaki, N. (2019). Seven lessons for planning nature-based solutions in cities. Environmental Science &amp; Policy, 93, 101–111.</w:t>
      </w:r>
    </w:p>
    <w:p w14:paraId="342486AE" w14:textId="77777777" w:rsidR="00007383" w:rsidRDefault="00D37F24">
      <w:pPr>
        <w:spacing w:after="40"/>
        <w:ind w:left="720" w:hanging="720"/>
      </w:pPr>
      <w:r>
        <w:t>Girling, C., &amp; Kellett, R. (2005). Skinny streets and green neighborhoods: Design for environment and community. Island Press.</w:t>
      </w:r>
    </w:p>
    <w:p w14:paraId="784F93C7" w14:textId="77777777" w:rsidR="00007383" w:rsidRDefault="00D37F24">
      <w:pPr>
        <w:spacing w:after="40"/>
        <w:ind w:left="720" w:hanging="720"/>
      </w:pPr>
      <w:r>
        <w:t>Mabogunje, A. L. (1968). Urbanization in Nigeria. University of London Press.</w:t>
      </w:r>
    </w:p>
    <w:p w14:paraId="1FE53FF1" w14:textId="77777777" w:rsidR="00007383" w:rsidRDefault="00D37F24">
      <w:pPr>
        <w:spacing w:after="40"/>
        <w:ind w:left="720" w:hanging="720"/>
      </w:pPr>
      <w:r>
        <w:t>Mensah, C. A. (2014). Urban green spaces in Accra, Ghana: Importance and challenges. Urban Forestry &amp; Urban Greening, 13(4), 695–701.</w:t>
      </w:r>
    </w:p>
    <w:p w14:paraId="38D2C3C3" w14:textId="77777777" w:rsidR="00007383" w:rsidRDefault="00D37F24">
      <w:pPr>
        <w:spacing w:after="40"/>
        <w:ind w:left="720" w:hanging="720"/>
      </w:pPr>
      <w:r>
        <w:lastRenderedPageBreak/>
        <w:t>Mutisya, E., &amp; Yarime, M. (2011). Understanding the grassroots dynamics of slums in Nairobi: The dilemma of Kibera informal settlements. International Transaction Journal of Engineering, Management, &amp; Applied Sciences &amp; Technologies, 2(2), 197–213.</w:t>
      </w:r>
    </w:p>
    <w:p w14:paraId="08ACE70F" w14:textId="77777777" w:rsidR="00007383" w:rsidRDefault="00D37F24">
      <w:pPr>
        <w:spacing w:after="40"/>
        <w:ind w:left="720" w:hanging="720"/>
      </w:pPr>
      <w:r>
        <w:t>National Population Commission. (2022). Nigeria population projections and census updates. NPC.</w:t>
      </w:r>
    </w:p>
    <w:p w14:paraId="6C28EE68" w14:textId="77777777" w:rsidR="00007383" w:rsidRDefault="00D37F24">
      <w:pPr>
        <w:spacing w:after="40"/>
        <w:ind w:left="720" w:hanging="720"/>
      </w:pPr>
      <w:r>
        <w:t>Ostrom, E. (1996). Crossing the great divide: Coproduction, synergy, and development. World Development, 24(6), 1073–1087.</w:t>
      </w:r>
    </w:p>
    <w:p w14:paraId="794F0251" w14:textId="77777777" w:rsidR="00007383" w:rsidRDefault="00D37F24">
      <w:pPr>
        <w:spacing w:after="40"/>
        <w:ind w:left="720" w:hanging="720"/>
      </w:pPr>
      <w:r>
        <w:t>Prescott, M. F., Dobbie, M. F., &amp; Ramirez-Lovering, D. (2021). Green infrastructure for sanitation in settlements in the Global South: A narrative review of socio-technical systems. Sustainability, 13(4), 2071.</w:t>
      </w:r>
    </w:p>
    <w:p w14:paraId="6718C4E6" w14:textId="77777777" w:rsidR="00007383" w:rsidRDefault="00D37F24">
      <w:pPr>
        <w:spacing w:after="40"/>
        <w:ind w:left="720" w:hanging="720"/>
      </w:pPr>
      <w:r>
        <w:t>Roberts, D., Boon, R., Diederichs, N., Douwes, E., Govender, N., Mcinnes, A., Mclean, C., O’Donoghue, S., &amp; Spires, M. (2012). Exploring ecosystem-based adaptation in Durban, South Africa: “Learning-by-doing” at the local government coal face. Environment and Urbanization, 24(1), 167–195.</w:t>
      </w:r>
    </w:p>
    <w:p w14:paraId="3C46A5EA" w14:textId="77777777" w:rsidR="00007383" w:rsidRDefault="00D37F24">
      <w:pPr>
        <w:spacing w:after="40"/>
        <w:ind w:left="720" w:hanging="720"/>
      </w:pPr>
      <w:r>
        <w:t>Roy, A. (2005). Urban informality: Toward an epistemology of planning. Journal of the American Planning Association, 71(2), 147–158.</w:t>
      </w:r>
    </w:p>
    <w:p w14:paraId="7D57CD3B" w14:textId="77777777" w:rsidR="00007383" w:rsidRDefault="00D37F24">
      <w:pPr>
        <w:spacing w:after="40"/>
        <w:ind w:left="720" w:hanging="720"/>
      </w:pPr>
      <w:r>
        <w:t>Sakijege, T., Lupala, J., &amp; Sheuya, S. (2012). Impacts of floods and coping strategies in urban informal settlements: A case study of Keko Machungwa, Dar es Salaam, Tanzania. Jàmbá: Journal of Disaster Risk Studies, 4(2), 46.</w:t>
      </w:r>
    </w:p>
    <w:p w14:paraId="2C695EB9" w14:textId="77777777" w:rsidR="00007383" w:rsidRDefault="00D37F24">
      <w:pPr>
        <w:spacing w:after="40"/>
        <w:ind w:left="720" w:hanging="720"/>
      </w:pPr>
      <w:r>
        <w:t>Turner, J. F. C. (1976). Housing by people: Towards autonomy in building environments. Marion Boyars.</w:t>
      </w:r>
    </w:p>
    <w:p w14:paraId="6163B6A6" w14:textId="77777777" w:rsidR="00007383" w:rsidRDefault="00D37F24">
      <w:pPr>
        <w:spacing w:after="40"/>
        <w:ind w:left="720" w:hanging="720"/>
      </w:pPr>
      <w:r>
        <w:t>Tzoulas, K., Korpela, K., Venn, S., Yli-Pelkonen, V., Kaźmierczak, A., Niemela, J., &amp; James, P. (2007). Promoting ecosystem and human health in urban areas using green infrastructure: A literature review. Landscape and Urban Planning, 81(3), 167–178.</w:t>
      </w:r>
    </w:p>
    <w:p w14:paraId="4962D72B" w14:textId="77777777" w:rsidR="00007383" w:rsidRDefault="00D37F24">
      <w:pPr>
        <w:spacing w:after="40"/>
        <w:ind w:left="720" w:hanging="720"/>
      </w:pPr>
      <w:r>
        <w:t>UN-Habitat. (2010). The state of African cities 2010: Governance, inequalities and urban land markets. United Nations Human Settlements Programme.</w:t>
      </w:r>
    </w:p>
    <w:p w14:paraId="6FE576CB" w14:textId="77777777" w:rsidR="00007383" w:rsidRDefault="00D37F24">
      <w:pPr>
        <w:spacing w:after="40"/>
        <w:ind w:left="720" w:hanging="720"/>
      </w:pPr>
      <w:r>
        <w:t>UN-Habitat. (2015). Participatory slum upgrading programme guidelines. United Nations Human Settlements Programme.</w:t>
      </w:r>
    </w:p>
    <w:p w14:paraId="510B3258" w14:textId="77777777" w:rsidR="00007383" w:rsidRDefault="00D37F24">
      <w:pPr>
        <w:spacing w:after="40"/>
        <w:ind w:left="720" w:hanging="720"/>
      </w:pPr>
      <w:r>
        <w:t>UN-Habitat. (2020). World cities report 2020: The value of sustainable urbanization. United Nations Human Settlements Programme.</w:t>
      </w:r>
    </w:p>
    <w:p w14:paraId="359749B0" w14:textId="77777777" w:rsidR="00007383" w:rsidRDefault="00D37F24">
      <w:pPr>
        <w:spacing w:after="40"/>
        <w:ind w:left="720" w:hanging="720"/>
      </w:pPr>
      <w:r>
        <w:t>Watson, V. (2014). African urban fantasies: Dreams or nightmares? Environment and Urbanization, 26(1), 215–231.</w:t>
      </w:r>
    </w:p>
    <w:p w14:paraId="07F2B81D" w14:textId="77777777" w:rsidR="00007383" w:rsidRDefault="00D37F24">
      <w:pPr>
        <w:spacing w:after="40"/>
        <w:ind w:left="720" w:hanging="720"/>
      </w:pPr>
      <w:r>
        <w:t>Wolch, J., Byrne, J., &amp; Newell, J. P. (2014). Urban green space, public health, and environmental justice: The challenge of making cities “just green enough.” Landscape and Urban Planning, 125, 234–244.</w:t>
      </w:r>
    </w:p>
    <w:sectPr w:rsidR="00007383" w:rsidSect="0003461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7F0D8" w14:textId="77777777" w:rsidR="00ED2580" w:rsidRDefault="00ED2580" w:rsidP="00C55F3D">
      <w:pPr>
        <w:spacing w:after="0"/>
      </w:pPr>
      <w:r>
        <w:separator/>
      </w:r>
    </w:p>
  </w:endnote>
  <w:endnote w:type="continuationSeparator" w:id="0">
    <w:p w14:paraId="1943E8AC" w14:textId="77777777" w:rsidR="00ED2580" w:rsidRDefault="00ED2580" w:rsidP="00C55F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285331"/>
      <w:docPartObj>
        <w:docPartGallery w:val="Page Numbers (Bottom of Page)"/>
        <w:docPartUnique/>
      </w:docPartObj>
    </w:sdtPr>
    <w:sdtEndPr>
      <w:rPr>
        <w:noProof/>
      </w:rPr>
    </w:sdtEndPr>
    <w:sdtContent>
      <w:p w14:paraId="0350FCBD" w14:textId="379E6CC4" w:rsidR="00C55F3D" w:rsidRDefault="00C55F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76AC77" w14:textId="77777777" w:rsidR="00C55F3D" w:rsidRDefault="00C55F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7EE1A" w14:textId="77777777" w:rsidR="00ED2580" w:rsidRDefault="00ED2580" w:rsidP="00C55F3D">
      <w:pPr>
        <w:spacing w:after="0"/>
      </w:pPr>
      <w:r>
        <w:separator/>
      </w:r>
    </w:p>
  </w:footnote>
  <w:footnote w:type="continuationSeparator" w:id="0">
    <w:p w14:paraId="42DC2B99" w14:textId="77777777" w:rsidR="00ED2580" w:rsidRDefault="00ED2580" w:rsidP="00C55F3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5512240">
    <w:abstractNumId w:val="8"/>
  </w:num>
  <w:num w:numId="2" w16cid:durableId="824319562">
    <w:abstractNumId w:val="6"/>
  </w:num>
  <w:num w:numId="3" w16cid:durableId="1931818241">
    <w:abstractNumId w:val="5"/>
  </w:num>
  <w:num w:numId="4" w16cid:durableId="96485732">
    <w:abstractNumId w:val="4"/>
  </w:num>
  <w:num w:numId="5" w16cid:durableId="107555528">
    <w:abstractNumId w:val="7"/>
  </w:num>
  <w:num w:numId="6" w16cid:durableId="484248379">
    <w:abstractNumId w:val="3"/>
  </w:num>
  <w:num w:numId="7" w16cid:durableId="1884058935">
    <w:abstractNumId w:val="2"/>
  </w:num>
  <w:num w:numId="8" w16cid:durableId="267465454">
    <w:abstractNumId w:val="1"/>
  </w:num>
  <w:num w:numId="9" w16cid:durableId="28645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383"/>
    <w:rsid w:val="00034616"/>
    <w:rsid w:val="0006063C"/>
    <w:rsid w:val="0015074B"/>
    <w:rsid w:val="0029639D"/>
    <w:rsid w:val="00326F90"/>
    <w:rsid w:val="005C2DA4"/>
    <w:rsid w:val="00865A5E"/>
    <w:rsid w:val="00AA1D8D"/>
    <w:rsid w:val="00B47730"/>
    <w:rsid w:val="00C55F3D"/>
    <w:rsid w:val="00CB0664"/>
    <w:rsid w:val="00D37F24"/>
    <w:rsid w:val="00E075F3"/>
    <w:rsid w:val="00EC1E5D"/>
    <w:rsid w:val="00ED2580"/>
    <w:rsid w:val="00F12B8C"/>
    <w:rsid w:val="00FC693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C61E94"/>
  <w14:defaultImageDpi w14:val="300"/>
  <w15:docId w15:val="{EFBF3213-3862-9C48-AAD3-4FD16F3F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75F3"/>
    <w:rPr>
      <w:color w:val="0000FF" w:themeColor="hyperlink"/>
      <w:u w:val="single"/>
    </w:rPr>
  </w:style>
  <w:style w:type="character" w:styleId="UnresolvedMention">
    <w:name w:val="Unresolved Mention"/>
    <w:basedOn w:val="DefaultParagraphFont"/>
    <w:uiPriority w:val="99"/>
    <w:semiHidden/>
    <w:unhideWhenUsed/>
    <w:rsid w:val="00E07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och.ibrahim@fedpolyukana.edu.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5089</Words>
  <Characters>29010</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34031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User-PC</cp:lastModifiedBy>
  <cp:revision>4</cp:revision>
  <dcterms:created xsi:type="dcterms:W3CDTF">2026-09-08T14:25:00Z</dcterms:created>
  <dcterms:modified xsi:type="dcterms:W3CDTF">2026-09-08T14:53:00Z</dcterms:modified>
  <cp:category/>
</cp:coreProperties>
</file>